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905" w:rsidRPr="009D3E29" w:rsidRDefault="00633905" w:rsidP="00633905">
      <w:pPr>
        <w:pStyle w:val="Header"/>
        <w:tabs>
          <w:tab w:val="left" w:pos="1800"/>
        </w:tabs>
        <w:ind w:left="1800" w:hanging="1800"/>
        <w:rPr>
          <w:bCs/>
          <w:sz w:val="24"/>
          <w:szCs w:val="24"/>
        </w:rPr>
      </w:pPr>
      <w:r>
        <w:rPr>
          <w:bCs/>
          <w:sz w:val="24"/>
          <w:szCs w:val="24"/>
        </w:rPr>
        <w:t>3GPP TSG RAN WG1</w:t>
      </w:r>
      <w:r w:rsidR="00DC7EF9">
        <w:rPr>
          <w:bCs/>
          <w:sz w:val="24"/>
          <w:szCs w:val="24"/>
        </w:rPr>
        <w:t>#90</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9D3E29">
        <w:rPr>
          <w:bCs/>
          <w:sz w:val="24"/>
          <w:szCs w:val="24"/>
        </w:rPr>
        <w:t>R1-</w:t>
      </w:r>
      <w:r w:rsidR="00A30AF9">
        <w:rPr>
          <w:bCs/>
          <w:sz w:val="24"/>
          <w:szCs w:val="24"/>
        </w:rPr>
        <w:t>17</w:t>
      </w:r>
      <w:r w:rsidR="00EA42E0">
        <w:rPr>
          <w:bCs/>
          <w:sz w:val="24"/>
          <w:szCs w:val="24"/>
        </w:rPr>
        <w:t>12360</w:t>
      </w:r>
    </w:p>
    <w:p w:rsidR="00A55122" w:rsidRDefault="006333C1" w:rsidP="00DC7EF9">
      <w:pPr>
        <w:pStyle w:val="Header"/>
        <w:tabs>
          <w:tab w:val="left" w:pos="1800"/>
        </w:tabs>
        <w:ind w:left="1800" w:hanging="1800"/>
        <w:rPr>
          <w:sz w:val="24"/>
          <w:szCs w:val="24"/>
          <w:lang w:val="en-US"/>
        </w:rPr>
      </w:pPr>
      <w:r>
        <w:rPr>
          <w:bCs/>
          <w:sz w:val="24"/>
          <w:szCs w:val="24"/>
        </w:rPr>
        <w:t xml:space="preserve">Prague, </w:t>
      </w:r>
      <w:r w:rsidR="00DC7EF9" w:rsidRPr="00DC7EF9">
        <w:rPr>
          <w:bCs/>
          <w:sz w:val="24"/>
          <w:szCs w:val="24"/>
        </w:rPr>
        <w:t>Czechia</w:t>
      </w:r>
      <w:r>
        <w:rPr>
          <w:bCs/>
          <w:sz w:val="24"/>
          <w:szCs w:val="24"/>
        </w:rPr>
        <w:t>, 21st</w:t>
      </w:r>
      <w:r w:rsidR="00DC7EF9" w:rsidRPr="00DC7EF9">
        <w:rPr>
          <w:bCs/>
          <w:sz w:val="24"/>
          <w:szCs w:val="24"/>
        </w:rPr>
        <w:t xml:space="preserve"> – 25th August 2017</w:t>
      </w:r>
    </w:p>
    <w:p w:rsidR="00DF1CB7" w:rsidRPr="00061DA0" w:rsidRDefault="00DF1CB7" w:rsidP="00DF1CB7">
      <w:pPr>
        <w:pStyle w:val="Title"/>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6153C7">
        <w:rPr>
          <w:rFonts w:ascii="Arial" w:hAnsi="Arial"/>
          <w:sz w:val="24"/>
        </w:rPr>
        <w:tab/>
      </w:r>
      <w:r w:rsidR="00875755">
        <w:rPr>
          <w:rFonts w:ascii="Arial" w:hAnsi="Arial"/>
          <w:sz w:val="24"/>
        </w:rPr>
        <w:t>6</w:t>
      </w:r>
      <w:r w:rsidR="002126FC" w:rsidRPr="002126FC">
        <w:rPr>
          <w:rFonts w:ascii="Arial" w:hAnsi="Arial"/>
          <w:sz w:val="24"/>
        </w:rPr>
        <w:t>.1.1.5.1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084A0C">
        <w:rPr>
          <w:rFonts w:ascii="Arial" w:hAnsi="Arial"/>
          <w:sz w:val="22"/>
        </w:rPr>
        <w:t>I</w:t>
      </w:r>
      <w:r w:rsidR="00084A0C" w:rsidRPr="00084A0C">
        <w:rPr>
          <w:rFonts w:ascii="Arial" w:hAnsi="Arial"/>
          <w:sz w:val="22"/>
        </w:rPr>
        <w:t xml:space="preserve">DLE and CONNECTED mode UE mobility based on SS-block measurements </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AF4B60" w:rsidRDefault="00AF4B60" w:rsidP="00DF1CB7">
      <w:pPr>
        <w:pStyle w:val="Title"/>
        <w:jc w:val="left"/>
        <w:rPr>
          <w:lang w:val="en-GB"/>
        </w:rPr>
      </w:pPr>
    </w:p>
    <w:p w:rsidR="005F46DA" w:rsidRDefault="00454947" w:rsidP="00693C74">
      <w:pPr>
        <w:pStyle w:val="Heading1"/>
      </w:pPr>
      <w:r w:rsidRPr="00061DA0">
        <w:t>Introduction</w:t>
      </w:r>
    </w:p>
    <w:p w:rsidR="0030475B" w:rsidRDefault="0030475B" w:rsidP="0030475B">
      <w:pPr>
        <w:rPr>
          <w:lang w:eastAsia="en-US"/>
        </w:rPr>
      </w:pPr>
      <w:r>
        <w:rPr>
          <w:lang w:eastAsia="en-US"/>
        </w:rPr>
        <w:t xml:space="preserve">In </w:t>
      </w:r>
      <w:r w:rsidR="00B869CD">
        <w:rPr>
          <w:lang w:eastAsia="en-US"/>
        </w:rPr>
        <w:t>previous RAN1 meetings, the following</w:t>
      </w:r>
      <w:r w:rsidR="007065E3">
        <w:rPr>
          <w:lang w:eastAsia="en-US"/>
        </w:rPr>
        <w:t xml:space="preserve"> agreements were made for </w:t>
      </w:r>
      <w:r w:rsidR="00B869CD">
        <w:rPr>
          <w:lang w:eastAsia="en-US"/>
        </w:rPr>
        <w:t xml:space="preserve">NR </w:t>
      </w:r>
      <w:r>
        <w:rPr>
          <w:lang w:eastAsia="en-US"/>
        </w:rPr>
        <w:t>R</w:t>
      </w:r>
      <w:r w:rsidR="007065E3">
        <w:rPr>
          <w:lang w:eastAsia="en-US"/>
        </w:rPr>
        <w:t>RM measurements</w:t>
      </w:r>
      <w:r w:rsidR="00E335A6">
        <w:rPr>
          <w:lang w:eastAsia="en-US"/>
        </w:rPr>
        <w:t>:</w:t>
      </w:r>
    </w:p>
    <w:tbl>
      <w:tblPr>
        <w:tblStyle w:val="TableGrid"/>
        <w:tblW w:w="0" w:type="auto"/>
        <w:tblLook w:val="04A0"/>
      </w:tblPr>
      <w:tblGrid>
        <w:gridCol w:w="9855"/>
      </w:tblGrid>
      <w:tr w:rsidR="00336383" w:rsidTr="00336383">
        <w:tc>
          <w:tcPr>
            <w:tcW w:w="9855" w:type="dxa"/>
          </w:tcPr>
          <w:p w:rsidR="00B869CD" w:rsidRPr="00B869CD" w:rsidRDefault="00B869CD" w:rsidP="00336383">
            <w:pPr>
              <w:rPr>
                <w:b/>
              </w:rPr>
            </w:pPr>
            <w:r w:rsidRPr="00B869CD">
              <w:rPr>
                <w:b/>
              </w:rPr>
              <w:t>RAN1#NR_AH02</w:t>
            </w:r>
          </w:p>
          <w:p w:rsidR="00336383" w:rsidRPr="002A1FFA" w:rsidRDefault="00336383" w:rsidP="00336383">
            <w:r w:rsidRPr="002A1FFA">
              <w:rPr>
                <w:rFonts w:hint="eastAsia"/>
                <w:highlight w:val="green"/>
              </w:rPr>
              <w:t>Agreements:</w:t>
            </w:r>
            <w:r w:rsidR="00B869CD">
              <w:t xml:space="preserve"> </w:t>
            </w:r>
          </w:p>
          <w:p w:rsidR="00336383" w:rsidRPr="002A1FFA" w:rsidRDefault="00336383" w:rsidP="00336383">
            <w:pPr>
              <w:pStyle w:val="ListParagraph"/>
              <w:numPr>
                <w:ilvl w:val="0"/>
                <w:numId w:val="21"/>
              </w:numPr>
              <w:overflowPunct w:val="0"/>
              <w:autoSpaceDE w:val="0"/>
              <w:autoSpaceDN w:val="0"/>
              <w:adjustRightInd w:val="0"/>
              <w:spacing w:after="180"/>
              <w:textAlignment w:val="baseline"/>
              <w:rPr>
                <w:rFonts w:eastAsia="MS Mincho"/>
              </w:rPr>
            </w:pPr>
            <w:r w:rsidRPr="002A1FFA">
              <w:rPr>
                <w:rFonts w:eastAsia="MS Mincho"/>
              </w:rPr>
              <w:t xml:space="preserve">Regarding the </w:t>
            </w:r>
            <w:r w:rsidRPr="002A1FFA">
              <w:rPr>
                <w:rFonts w:eastAsia="MS Mincho" w:hint="eastAsia"/>
              </w:rPr>
              <w:t xml:space="preserve">SS block based RRM </w:t>
            </w:r>
            <w:r w:rsidRPr="002A1FFA">
              <w:rPr>
                <w:rFonts w:eastAsia="MS Mincho"/>
              </w:rPr>
              <w:t xml:space="preserve">measurement timing configuration </w:t>
            </w:r>
            <w:r w:rsidRPr="002A1FFA">
              <w:rPr>
                <w:rFonts w:eastAsia="MS Mincho" w:hint="eastAsia"/>
              </w:rPr>
              <w:t xml:space="preserve">(SMTC) </w:t>
            </w:r>
            <w:r w:rsidRPr="002A1FFA">
              <w:rPr>
                <w:rFonts w:eastAsia="MS Mincho"/>
              </w:rPr>
              <w:t xml:space="preserve">i.e., </w:t>
            </w:r>
            <w:r w:rsidRPr="002A1FFA">
              <w:rPr>
                <w:rFonts w:eastAsia="MS Mincho" w:hint="eastAsia"/>
              </w:rPr>
              <w:t xml:space="preserve">measurement window </w:t>
            </w:r>
            <w:r w:rsidRPr="002A1FFA">
              <w:rPr>
                <w:rFonts w:eastAsia="MS Mincho"/>
              </w:rPr>
              <w:t>periodicity/duration</w:t>
            </w:r>
            <w:r w:rsidRPr="002A1FFA">
              <w:rPr>
                <w:rFonts w:eastAsia="MS Mincho" w:hint="eastAsia"/>
              </w:rPr>
              <w:t>/offset</w:t>
            </w:r>
            <w:r w:rsidRPr="002A1FFA">
              <w:rPr>
                <w:rFonts w:eastAsia="MS Mincho"/>
              </w:rPr>
              <w:t xml:space="preserve"> information for UE RRM measurement per frequency carrier,</w:t>
            </w:r>
          </w:p>
          <w:p w:rsidR="00336383" w:rsidRPr="002A1FFA" w:rsidRDefault="00336383" w:rsidP="00336383">
            <w:pPr>
              <w:pStyle w:val="ListParagraph"/>
              <w:numPr>
                <w:ilvl w:val="1"/>
                <w:numId w:val="21"/>
              </w:numPr>
              <w:overflowPunct w:val="0"/>
              <w:autoSpaceDE w:val="0"/>
              <w:autoSpaceDN w:val="0"/>
              <w:adjustRightInd w:val="0"/>
              <w:spacing w:after="180"/>
              <w:textAlignment w:val="baseline"/>
              <w:rPr>
                <w:rFonts w:eastAsia="MS Mincho"/>
              </w:rPr>
            </w:pPr>
            <w:r w:rsidRPr="002A1FFA">
              <w:rPr>
                <w:rFonts w:eastAsia="MS Mincho" w:hint="eastAsia"/>
              </w:rPr>
              <w:t>For intra-frequency CONNECTED mode measurement, up to two</w:t>
            </w:r>
            <w:r w:rsidRPr="002A1FFA">
              <w:rPr>
                <w:rFonts w:eastAsia="MS Mincho"/>
              </w:rPr>
              <w:t xml:space="preserve"> measurement </w:t>
            </w:r>
            <w:r w:rsidRPr="002A1FFA">
              <w:rPr>
                <w:rFonts w:eastAsia="MS Mincho" w:hint="eastAsia"/>
              </w:rPr>
              <w:t>window periodicities</w:t>
            </w:r>
            <w:r w:rsidRPr="002A1FFA">
              <w:rPr>
                <w:rFonts w:eastAsia="MS Mincho"/>
              </w:rPr>
              <w:t xml:space="preserve"> can be configured</w:t>
            </w:r>
          </w:p>
          <w:p w:rsidR="00336383" w:rsidRPr="002A1FFA" w:rsidRDefault="00336383" w:rsidP="00336383">
            <w:pPr>
              <w:pStyle w:val="ListParagraph"/>
              <w:numPr>
                <w:ilvl w:val="2"/>
                <w:numId w:val="21"/>
              </w:numPr>
              <w:overflowPunct w:val="0"/>
              <w:autoSpaceDE w:val="0"/>
              <w:autoSpaceDN w:val="0"/>
              <w:adjustRightInd w:val="0"/>
              <w:spacing w:after="180"/>
              <w:textAlignment w:val="baseline"/>
              <w:rPr>
                <w:rFonts w:eastAsia="MS Mincho"/>
              </w:rPr>
            </w:pPr>
            <w:r w:rsidRPr="002A1FFA">
              <w:rPr>
                <w:rFonts w:eastAsia="MS Mincho" w:hint="eastAsia"/>
              </w:rPr>
              <w:t>UE can be informed of which cell(s) is associated with which measurement window periodicity</w:t>
            </w:r>
          </w:p>
          <w:p w:rsidR="00336383" w:rsidRPr="002A1FFA" w:rsidRDefault="00336383" w:rsidP="00336383">
            <w:pPr>
              <w:pStyle w:val="ListParagraph"/>
              <w:numPr>
                <w:ilvl w:val="3"/>
                <w:numId w:val="21"/>
              </w:numPr>
              <w:overflowPunct w:val="0"/>
              <w:autoSpaceDE w:val="0"/>
              <w:autoSpaceDN w:val="0"/>
              <w:adjustRightInd w:val="0"/>
              <w:spacing w:after="180"/>
              <w:textAlignment w:val="baseline"/>
              <w:rPr>
                <w:rFonts w:eastAsia="MS Mincho"/>
              </w:rPr>
            </w:pPr>
            <w:r w:rsidRPr="002A1FFA">
              <w:rPr>
                <w:rFonts w:eastAsia="MS Mincho"/>
              </w:rPr>
              <w:t>F</w:t>
            </w:r>
            <w:r w:rsidRPr="002A1FFA">
              <w:rPr>
                <w:rFonts w:eastAsia="MS Mincho" w:hint="eastAsia"/>
              </w:rPr>
              <w:t xml:space="preserve">or cell(s) </w:t>
            </w:r>
            <w:r w:rsidRPr="002A1FFA">
              <w:rPr>
                <w:rFonts w:eastAsia="MS Mincho"/>
              </w:rPr>
              <w:t>tha</w:t>
            </w:r>
            <w:r w:rsidRPr="002A1FFA">
              <w:rPr>
                <w:rFonts w:eastAsia="MS Mincho" w:hint="eastAsia"/>
              </w:rPr>
              <w:t>t is not listed, longer measurement window periodicity is used</w:t>
            </w:r>
          </w:p>
          <w:p w:rsidR="00336383" w:rsidRPr="002A1FFA" w:rsidRDefault="00336383" w:rsidP="00336383">
            <w:pPr>
              <w:pStyle w:val="ListParagraph"/>
              <w:numPr>
                <w:ilvl w:val="2"/>
                <w:numId w:val="21"/>
              </w:numPr>
              <w:overflowPunct w:val="0"/>
              <w:autoSpaceDE w:val="0"/>
              <w:autoSpaceDN w:val="0"/>
              <w:adjustRightInd w:val="0"/>
              <w:spacing w:after="180"/>
              <w:textAlignment w:val="baseline"/>
              <w:rPr>
                <w:rFonts w:eastAsia="MS Mincho"/>
              </w:rPr>
            </w:pPr>
            <w:r w:rsidRPr="002A1FFA">
              <w:rPr>
                <w:rFonts w:eastAsia="MS Mincho" w:hint="eastAsia"/>
              </w:rPr>
              <w:t>Single measurement window offset and duration are configured per frequency carrier</w:t>
            </w:r>
          </w:p>
          <w:p w:rsidR="00336383" w:rsidRPr="002A1FFA" w:rsidRDefault="00336383" w:rsidP="00336383">
            <w:pPr>
              <w:pStyle w:val="ListParagraph"/>
              <w:numPr>
                <w:ilvl w:val="1"/>
                <w:numId w:val="21"/>
              </w:numPr>
              <w:overflowPunct w:val="0"/>
              <w:autoSpaceDE w:val="0"/>
              <w:autoSpaceDN w:val="0"/>
              <w:adjustRightInd w:val="0"/>
              <w:spacing w:after="180"/>
              <w:textAlignment w:val="baseline"/>
              <w:rPr>
                <w:rFonts w:eastAsia="MS Mincho"/>
              </w:rPr>
            </w:pPr>
            <w:r w:rsidRPr="002A1FFA">
              <w:rPr>
                <w:rFonts w:eastAsia="MS Mincho" w:hint="eastAsia"/>
              </w:rPr>
              <w:t xml:space="preserve">For IDLE mode </w:t>
            </w:r>
            <w:r w:rsidRPr="002A1FFA">
              <w:rPr>
                <w:rFonts w:eastAsia="MS Mincho"/>
              </w:rPr>
              <w:t>measurements</w:t>
            </w:r>
            <w:r w:rsidRPr="002A1FFA">
              <w:rPr>
                <w:rFonts w:eastAsia="MS Mincho" w:hint="eastAsia"/>
              </w:rPr>
              <w:t>, o</w:t>
            </w:r>
            <w:r w:rsidRPr="002A1FFA">
              <w:rPr>
                <w:rFonts w:eastAsia="MS Mincho"/>
              </w:rPr>
              <w:t xml:space="preserve">nly single </w:t>
            </w:r>
            <w:r w:rsidRPr="002A1FFA">
              <w:rPr>
                <w:rFonts w:eastAsia="MS Mincho" w:hint="eastAsia"/>
              </w:rPr>
              <w:t xml:space="preserve">SMTC </w:t>
            </w:r>
            <w:r w:rsidRPr="002A1FFA">
              <w:rPr>
                <w:rFonts w:eastAsia="MS Mincho"/>
              </w:rPr>
              <w:t>is configured per frequency carrier</w:t>
            </w:r>
          </w:p>
          <w:p w:rsidR="00336383" w:rsidRPr="002A1FFA" w:rsidRDefault="00336383" w:rsidP="00336383">
            <w:pPr>
              <w:pStyle w:val="ListParagraph"/>
              <w:numPr>
                <w:ilvl w:val="1"/>
                <w:numId w:val="21"/>
              </w:numPr>
              <w:overflowPunct w:val="0"/>
              <w:autoSpaceDE w:val="0"/>
              <w:autoSpaceDN w:val="0"/>
              <w:adjustRightInd w:val="0"/>
              <w:spacing w:after="180"/>
              <w:textAlignment w:val="baseline"/>
              <w:rPr>
                <w:rFonts w:eastAsia="MS Mincho"/>
              </w:rPr>
            </w:pPr>
            <w:r w:rsidRPr="002A1FFA">
              <w:rPr>
                <w:rFonts w:eastAsia="MS Mincho" w:hint="eastAsia"/>
              </w:rPr>
              <w:t>For inter-frequency CONNECTED mode measurements, o</w:t>
            </w:r>
            <w:r w:rsidRPr="002A1FFA">
              <w:rPr>
                <w:rFonts w:eastAsia="MS Mincho"/>
              </w:rPr>
              <w:t xml:space="preserve">nly single </w:t>
            </w:r>
            <w:r w:rsidRPr="002A1FFA">
              <w:rPr>
                <w:rFonts w:eastAsia="MS Mincho" w:hint="eastAsia"/>
              </w:rPr>
              <w:t>SMTC</w:t>
            </w:r>
            <w:r w:rsidRPr="002A1FFA">
              <w:rPr>
                <w:rFonts w:eastAsia="MS Mincho"/>
              </w:rPr>
              <w:t xml:space="preserve"> is configured </w:t>
            </w:r>
            <w:r w:rsidRPr="002A1FFA">
              <w:rPr>
                <w:rFonts w:eastAsia="MS Mincho" w:hint="eastAsia"/>
              </w:rPr>
              <w:t xml:space="preserve">at least </w:t>
            </w:r>
            <w:r w:rsidRPr="002A1FFA">
              <w:rPr>
                <w:rFonts w:eastAsia="MS Mincho"/>
              </w:rPr>
              <w:t>per frequency carrier</w:t>
            </w:r>
          </w:p>
          <w:p w:rsidR="00336383" w:rsidRPr="002A1FFA" w:rsidRDefault="00336383" w:rsidP="00336383">
            <w:pPr>
              <w:pStyle w:val="ListParagraph"/>
              <w:numPr>
                <w:ilvl w:val="1"/>
                <w:numId w:val="21"/>
              </w:numPr>
              <w:overflowPunct w:val="0"/>
              <w:autoSpaceDE w:val="0"/>
              <w:autoSpaceDN w:val="0"/>
              <w:adjustRightInd w:val="0"/>
              <w:spacing w:after="180"/>
              <w:textAlignment w:val="baseline"/>
              <w:rPr>
                <w:rFonts w:eastAsia="MS Mincho"/>
              </w:rPr>
            </w:pPr>
            <w:r w:rsidRPr="002A1FFA">
              <w:rPr>
                <w:rFonts w:eastAsia="MS Mincho" w:hint="eastAsia"/>
              </w:rPr>
              <w:t>RAN1 asks RAN4 if there is any concern for inter-frequency measurement based on single SMTC or multiple SMTCs across different frequency carriers</w:t>
            </w:r>
          </w:p>
          <w:p w:rsidR="00373854" w:rsidRDefault="00373854" w:rsidP="00373854">
            <w:r w:rsidRPr="002A1FFA">
              <w:rPr>
                <w:rFonts w:hint="eastAsia"/>
                <w:highlight w:val="green"/>
              </w:rPr>
              <w:t>Agreement:</w:t>
            </w:r>
            <w:r>
              <w:t xml:space="preserve"> </w:t>
            </w:r>
          </w:p>
          <w:p w:rsidR="00336383" w:rsidRPr="00336383" w:rsidRDefault="00373854" w:rsidP="0030475B">
            <w:pPr>
              <w:rPr>
                <w:lang w:val="en-US"/>
              </w:rPr>
            </w:pPr>
            <w:r>
              <w:rPr>
                <w:lang w:val="en-US"/>
              </w:rPr>
              <w:t xml:space="preserve">A fixed power offset defined </w:t>
            </w:r>
            <w:r w:rsidRPr="004C4E59">
              <w:rPr>
                <w:lang w:val="en-US"/>
              </w:rPr>
              <w:t>in the specification shall be ad</w:t>
            </w:r>
            <w:r>
              <w:rPr>
                <w:lang w:val="en-US"/>
              </w:rPr>
              <w:t>opted between SSS and PBCH DMRS</w:t>
            </w:r>
            <w:r>
              <w:rPr>
                <w:rFonts w:hint="eastAsia"/>
                <w:lang w:val="en-US"/>
              </w:rPr>
              <w:t xml:space="preserve"> per frequency band</w:t>
            </w:r>
          </w:p>
        </w:tc>
      </w:tr>
    </w:tbl>
    <w:p w:rsidR="00336383" w:rsidRDefault="00336383" w:rsidP="0030475B">
      <w:pPr>
        <w:rPr>
          <w:lang w:eastAsia="en-US"/>
        </w:rPr>
      </w:pPr>
    </w:p>
    <w:tbl>
      <w:tblPr>
        <w:tblStyle w:val="TableGrid"/>
        <w:tblW w:w="0" w:type="auto"/>
        <w:tblLook w:val="04A0"/>
      </w:tblPr>
      <w:tblGrid>
        <w:gridCol w:w="9855"/>
      </w:tblGrid>
      <w:tr w:rsidR="00391AEB" w:rsidTr="00CA0CEB">
        <w:tc>
          <w:tcPr>
            <w:tcW w:w="9855" w:type="dxa"/>
          </w:tcPr>
          <w:p w:rsidR="00391AEB" w:rsidRPr="00B869CD" w:rsidRDefault="00490EDF" w:rsidP="00CA0CEB">
            <w:pPr>
              <w:rPr>
                <w:b/>
              </w:rPr>
            </w:pPr>
            <w:r>
              <w:rPr>
                <w:b/>
              </w:rPr>
              <w:t>RAN1#NR_89</w:t>
            </w:r>
          </w:p>
          <w:p w:rsidR="00AC4044" w:rsidRPr="004A4A54" w:rsidRDefault="00AC4044" w:rsidP="00AC4044">
            <w:pPr>
              <w:rPr>
                <w:b/>
                <w:u w:val="single"/>
              </w:rPr>
            </w:pPr>
            <w:r w:rsidRPr="00376422">
              <w:rPr>
                <w:rFonts w:hint="eastAsia"/>
                <w:b/>
                <w:highlight w:val="green"/>
                <w:u w:val="single"/>
              </w:rPr>
              <w:t>Agreements:</w:t>
            </w:r>
          </w:p>
          <w:p w:rsidR="00AC4044" w:rsidRDefault="00AC4044" w:rsidP="00AC4044">
            <w:pPr>
              <w:numPr>
                <w:ilvl w:val="0"/>
                <w:numId w:val="16"/>
              </w:numPr>
              <w:spacing w:after="0"/>
              <w:rPr>
                <w:lang w:val="en-US"/>
              </w:rPr>
            </w:pPr>
            <w:r>
              <w:rPr>
                <w:rFonts w:hint="eastAsia"/>
                <w:lang w:val="en-US"/>
              </w:rPr>
              <w:t>RAN1 assumes at least SSS is used for SS block RSRP</w:t>
            </w:r>
          </w:p>
          <w:p w:rsidR="00AC4044" w:rsidRPr="00376422" w:rsidRDefault="00AC4044" w:rsidP="00AC4044">
            <w:pPr>
              <w:numPr>
                <w:ilvl w:val="1"/>
                <w:numId w:val="16"/>
              </w:numPr>
              <w:spacing w:after="0"/>
              <w:rPr>
                <w:lang w:val="en-US"/>
              </w:rPr>
            </w:pPr>
            <w:r w:rsidRPr="00376422">
              <w:rPr>
                <w:rFonts w:hint="eastAsia"/>
                <w:lang w:val="en-US"/>
              </w:rPr>
              <w:t xml:space="preserve">Note that NR-PBCH DMRS can also be used for SS block RSRP if UE can know the power offset of </w:t>
            </w:r>
            <w:r w:rsidRPr="00376422">
              <w:rPr>
                <w:lang w:val="en-US"/>
              </w:rPr>
              <w:t xml:space="preserve">NR-PBCH </w:t>
            </w:r>
            <w:r w:rsidRPr="00376422">
              <w:rPr>
                <w:rFonts w:hint="eastAsia"/>
                <w:lang w:val="en-US"/>
              </w:rPr>
              <w:t>DMRS and NR-SSS</w:t>
            </w:r>
          </w:p>
          <w:p w:rsidR="00391AEB" w:rsidRDefault="00391AEB" w:rsidP="00CA0CEB">
            <w:pPr>
              <w:rPr>
                <w:lang w:val="en-US"/>
              </w:rPr>
            </w:pPr>
          </w:p>
          <w:p w:rsidR="00AC4044" w:rsidRPr="00DA5FA2" w:rsidRDefault="00AC4044" w:rsidP="00AC4044">
            <w:pPr>
              <w:rPr>
                <w:b/>
                <w:u w:val="single"/>
              </w:rPr>
            </w:pPr>
            <w:r w:rsidRPr="00D71462">
              <w:rPr>
                <w:rFonts w:hint="eastAsia"/>
                <w:b/>
                <w:highlight w:val="green"/>
                <w:u w:val="single"/>
              </w:rPr>
              <w:t>A</w:t>
            </w:r>
            <w:r w:rsidRPr="00D71462">
              <w:rPr>
                <w:b/>
                <w:highlight w:val="green"/>
                <w:u w:val="single"/>
              </w:rPr>
              <w:t>g</w:t>
            </w:r>
            <w:r w:rsidRPr="00D71462">
              <w:rPr>
                <w:rFonts w:hint="eastAsia"/>
                <w:b/>
                <w:highlight w:val="green"/>
                <w:u w:val="single"/>
              </w:rPr>
              <w:t>reements:</w:t>
            </w:r>
          </w:p>
          <w:p w:rsidR="00AC4044" w:rsidRPr="0023184F" w:rsidRDefault="00AC4044" w:rsidP="00AC4044">
            <w:pPr>
              <w:numPr>
                <w:ilvl w:val="0"/>
                <w:numId w:val="20"/>
              </w:numPr>
              <w:spacing w:after="0"/>
            </w:pPr>
            <w:r w:rsidRPr="0023184F">
              <w:t xml:space="preserve">For NR-PBCH transmission, NR supports a single antenna port based transmission scheme only. </w:t>
            </w:r>
          </w:p>
          <w:p w:rsidR="00AC4044" w:rsidRPr="0023184F" w:rsidRDefault="00AC4044" w:rsidP="00AC4044">
            <w:pPr>
              <w:numPr>
                <w:ilvl w:val="1"/>
                <w:numId w:val="20"/>
              </w:numPr>
              <w:spacing w:after="0"/>
            </w:pPr>
            <w:r w:rsidRPr="0023184F">
              <w:t>Same antenna port is defined for NR-PSS, NR-SSS and NR-PBCH within an SS block</w:t>
            </w:r>
          </w:p>
          <w:p w:rsidR="00AC4044" w:rsidRPr="00AC4044" w:rsidRDefault="00AC4044" w:rsidP="00CA0CEB"/>
        </w:tc>
      </w:tr>
    </w:tbl>
    <w:p w:rsidR="00375AC0" w:rsidRPr="00606128" w:rsidRDefault="00375AC0" w:rsidP="00606128">
      <w:pPr>
        <w:spacing w:after="0"/>
        <w:rPr>
          <w:b/>
          <w:lang w:val="en-US"/>
        </w:rPr>
      </w:pPr>
    </w:p>
    <w:p w:rsidR="00FC2331" w:rsidRPr="00FC2331" w:rsidRDefault="005F46DA" w:rsidP="00597D30">
      <w:pPr>
        <w:rPr>
          <w:rFonts w:eastAsia="宋体"/>
          <w:lang w:eastAsia="zh-CN"/>
        </w:rPr>
      </w:pPr>
      <w:r w:rsidRPr="0064588B">
        <w:rPr>
          <w:rFonts w:hint="eastAsia"/>
        </w:rPr>
        <w:t xml:space="preserve">In this contribution, we </w:t>
      </w:r>
      <w:r w:rsidR="00FC2331">
        <w:t xml:space="preserve">further </w:t>
      </w:r>
      <w:r w:rsidR="005433D3">
        <w:rPr>
          <w:rFonts w:eastAsia="宋体" w:hint="eastAsia"/>
          <w:lang w:eastAsia="zh-CN"/>
        </w:rPr>
        <w:t>discuss</w:t>
      </w:r>
      <w:r w:rsidR="001C592C">
        <w:rPr>
          <w:rFonts w:eastAsia="宋体"/>
          <w:lang w:eastAsia="zh-CN"/>
        </w:rPr>
        <w:t xml:space="preserve"> </w:t>
      </w:r>
      <w:r w:rsidR="00BC0223">
        <w:rPr>
          <w:rFonts w:eastAsia="宋体"/>
          <w:lang w:eastAsia="zh-CN"/>
        </w:rPr>
        <w:t xml:space="preserve">the </w:t>
      </w:r>
      <w:r w:rsidR="00FC2331" w:rsidRPr="00FC2331">
        <w:rPr>
          <w:rFonts w:eastAsia="宋体"/>
          <w:lang w:eastAsia="zh-CN"/>
        </w:rPr>
        <w:t>IDLE and CONNECTED mode UE mobility</w:t>
      </w:r>
      <w:r w:rsidR="00FC2331">
        <w:rPr>
          <w:rFonts w:eastAsia="宋体"/>
          <w:lang w:eastAsia="zh-CN"/>
        </w:rPr>
        <w:t xml:space="preserve"> based on SS-block measurements, i</w:t>
      </w:r>
      <w:r w:rsidR="00FC2331" w:rsidRPr="00FC2331">
        <w:rPr>
          <w:rFonts w:eastAsia="宋体"/>
          <w:lang w:eastAsia="zh-CN"/>
        </w:rPr>
        <w:t xml:space="preserve">ncluding </w:t>
      </w:r>
      <w:r w:rsidR="00597D30" w:rsidRPr="00597D30">
        <w:rPr>
          <w:rFonts w:eastAsia="宋体"/>
          <w:lang w:eastAsia="zh-CN"/>
        </w:rPr>
        <w:t>SS block time index ambiguity with multi-TRPs</w:t>
      </w:r>
      <w:r w:rsidR="00FC2331" w:rsidRPr="00FC2331">
        <w:rPr>
          <w:rFonts w:eastAsia="宋体"/>
          <w:lang w:eastAsia="zh-CN"/>
        </w:rPr>
        <w:t xml:space="preserve"> and definition of signal quality measurement such as RSRQ based on SS block</w:t>
      </w:r>
      <w:r w:rsidR="00FC2331">
        <w:rPr>
          <w:rFonts w:eastAsia="宋体"/>
          <w:lang w:eastAsia="zh-CN"/>
        </w:rPr>
        <w:t>.</w:t>
      </w:r>
    </w:p>
    <w:p w:rsidR="005F46DA" w:rsidRDefault="005F46DA" w:rsidP="00693C74"/>
    <w:p w:rsidR="00693C74" w:rsidRDefault="004D56CE" w:rsidP="00BA7C9E">
      <w:pPr>
        <w:pStyle w:val="Heading1"/>
        <w:rPr>
          <w:lang w:eastAsia="ja-JP"/>
        </w:rPr>
      </w:pPr>
      <w:r>
        <w:rPr>
          <w:lang w:eastAsia="ja-JP"/>
        </w:rPr>
        <w:lastRenderedPageBreak/>
        <w:t>RRM Measurement</w:t>
      </w:r>
      <w:r w:rsidR="00763D11">
        <w:rPr>
          <w:lang w:eastAsia="ja-JP"/>
        </w:rPr>
        <w:t>s</w:t>
      </w:r>
      <w:r>
        <w:rPr>
          <w:lang w:eastAsia="ja-JP"/>
        </w:rPr>
        <w:t xml:space="preserve"> and Mobility Management </w:t>
      </w:r>
    </w:p>
    <w:p w:rsidR="009F3C95" w:rsidRDefault="00763D11" w:rsidP="007E7857">
      <w:pPr>
        <w:pStyle w:val="maintext"/>
        <w:spacing w:before="0" w:after="0" w:line="240" w:lineRule="auto"/>
        <w:ind w:firstLineChars="0" w:firstLine="0"/>
      </w:pPr>
      <w:r>
        <w:t xml:space="preserve">RRM measurements are used for </w:t>
      </w:r>
      <w:r w:rsidR="00BC0223">
        <w:t xml:space="preserve">the selection of connection </w:t>
      </w:r>
      <w:r>
        <w:t>point and mobil</w:t>
      </w:r>
      <w:r w:rsidR="00BC0223">
        <w:t>i</w:t>
      </w:r>
      <w:r w:rsidR="001C2F95">
        <w:t xml:space="preserve">ty management when UE </w:t>
      </w:r>
      <w:r w:rsidR="00BC0223">
        <w:t xml:space="preserve">accesses </w:t>
      </w:r>
      <w:r w:rsidR="009F3C95">
        <w:t xml:space="preserve">the NR system.  Two types of RRM measurements had been used for access point selection and mobility management as follows, </w:t>
      </w:r>
    </w:p>
    <w:p w:rsidR="009F3C95" w:rsidRDefault="009F3C95" w:rsidP="00FA28CC">
      <w:pPr>
        <w:pStyle w:val="maintext"/>
        <w:numPr>
          <w:ilvl w:val="0"/>
          <w:numId w:val="6"/>
        </w:numPr>
        <w:spacing w:before="0" w:after="0" w:line="240" w:lineRule="auto"/>
        <w:ind w:firstLineChars="0"/>
      </w:pPr>
      <w:r>
        <w:t xml:space="preserve">Long-term </w:t>
      </w:r>
      <w:r w:rsidR="00B179EE">
        <w:t>path loss</w:t>
      </w:r>
      <w:r>
        <w:t xml:space="preserve"> measurements –</w:t>
      </w:r>
      <w:r w:rsidR="00323D07">
        <w:t xml:space="preserve"> Long-term </w:t>
      </w:r>
      <w:r w:rsidR="00B179EE">
        <w:t>path loss</w:t>
      </w:r>
      <w:r>
        <w:t xml:space="preserve"> measurements are the measurements with L1 filters and L3 filters to extract the </w:t>
      </w:r>
      <w:r w:rsidR="00B179EE">
        <w:t>path loss</w:t>
      </w:r>
      <w:r w:rsidR="007B6281">
        <w:t xml:space="preserve"> of the radio channel by filtering out</w:t>
      </w:r>
      <w:r>
        <w:t xml:space="preserve"> </w:t>
      </w:r>
      <w:r w:rsidR="007B6281">
        <w:t xml:space="preserve">the effects of </w:t>
      </w:r>
      <w:r>
        <w:t>fas</w:t>
      </w:r>
      <w:r w:rsidR="007B6281">
        <w:t>t and slow/shadow fading</w:t>
      </w:r>
      <w:r w:rsidR="00C64B1C">
        <w:t>.  T</w:t>
      </w:r>
      <w:r w:rsidR="00323D07">
        <w:t xml:space="preserve">he </w:t>
      </w:r>
      <w:r w:rsidR="00C64B1C">
        <w:t xml:space="preserve">measurements are used </w:t>
      </w:r>
      <w:r w:rsidR="00F6498C">
        <w:t>as the</w:t>
      </w:r>
      <w:r w:rsidR="00C64B1C">
        <w:t xml:space="preserve"> indication of the</w:t>
      </w:r>
      <w:r w:rsidR="00F6498C">
        <w:t xml:space="preserve"> access point</w:t>
      </w:r>
      <w:r w:rsidR="00C64B1C">
        <w:t xml:space="preserve"> </w:t>
      </w:r>
      <w:r w:rsidR="00F6498C">
        <w:t xml:space="preserve">coverage </w:t>
      </w:r>
      <w:r w:rsidR="007B6281">
        <w:t xml:space="preserve">area. </w:t>
      </w:r>
      <w:r w:rsidR="00323D07">
        <w:t xml:space="preserve"> The long-term </w:t>
      </w:r>
      <w:r w:rsidR="00B179EE">
        <w:t>path loss</w:t>
      </w:r>
      <w:r w:rsidR="00323D07">
        <w:t xml:space="preserve"> measurements are used</w:t>
      </w:r>
      <w:r w:rsidR="00802373">
        <w:t xml:space="preserve"> as the reference for determining the camping cell or mobility management, such as cell selection/ re-selection or handover.  </w:t>
      </w:r>
    </w:p>
    <w:p w:rsidR="00323D07" w:rsidRDefault="00323D07" w:rsidP="00323D07">
      <w:pPr>
        <w:pStyle w:val="maintext"/>
        <w:spacing w:before="0" w:after="0" w:line="240" w:lineRule="auto"/>
        <w:ind w:left="720" w:firstLineChars="0" w:firstLine="0"/>
      </w:pPr>
    </w:p>
    <w:p w:rsidR="009F3C95" w:rsidRDefault="009F3C95" w:rsidP="00FA28CC">
      <w:pPr>
        <w:pStyle w:val="maintext"/>
        <w:numPr>
          <w:ilvl w:val="0"/>
          <w:numId w:val="6"/>
        </w:numPr>
        <w:spacing w:before="0" w:after="0" w:line="240" w:lineRule="auto"/>
        <w:ind w:firstLineChars="0"/>
      </w:pPr>
      <w:r>
        <w:t>Short-term channel quality measurements</w:t>
      </w:r>
      <w:r w:rsidR="007B6281">
        <w:t xml:space="preserve"> - Short-term channel quality measurements are the measurements to with L1 filters to filter out the fast fading effect of radio channel.  </w:t>
      </w:r>
      <w:r w:rsidR="00802373">
        <w:t xml:space="preserve">The </w:t>
      </w:r>
      <w:r w:rsidR="007B6281">
        <w:t>measurements are used to indicate the</w:t>
      </w:r>
      <w:r w:rsidR="00802373">
        <w:t xml:space="preserve"> </w:t>
      </w:r>
      <w:r w:rsidR="007B6281">
        <w:t>link quality of each access point</w:t>
      </w:r>
      <w:r w:rsidR="00323D07">
        <w:t>/</w:t>
      </w:r>
      <w:r w:rsidR="007B6281">
        <w:t>beam</w:t>
      </w:r>
      <w:r w:rsidR="00323D07">
        <w:t xml:space="preserve">.  </w:t>
      </w:r>
      <w:r w:rsidR="00802373">
        <w:t xml:space="preserve">The short-term channel quality measurements are used as the reference for determining the link quality of the access point/beam to enable dynamic switching of connecting point/beam for spatial diversity gain.   </w:t>
      </w:r>
    </w:p>
    <w:p w:rsidR="009F3C95" w:rsidRDefault="009F3C95" w:rsidP="005B4869">
      <w:pPr>
        <w:pStyle w:val="maintext"/>
        <w:spacing w:before="0" w:after="0" w:line="240" w:lineRule="auto"/>
        <w:ind w:left="720" w:firstLineChars="0" w:firstLine="0"/>
      </w:pPr>
    </w:p>
    <w:p w:rsidR="00582DE5" w:rsidRDefault="00B6337F" w:rsidP="009F3C95">
      <w:pPr>
        <w:pStyle w:val="maintext"/>
        <w:spacing w:before="0" w:after="0" w:line="240" w:lineRule="auto"/>
        <w:ind w:firstLineChars="0" w:firstLine="0"/>
      </w:pPr>
      <w:r>
        <w:t xml:space="preserve">The NR network is </w:t>
      </w:r>
      <w:r w:rsidR="00F77560">
        <w:t xml:space="preserve">covered with </w:t>
      </w:r>
      <w:r>
        <w:t>cells with each cell</w:t>
      </w:r>
      <w:r w:rsidR="00F77560">
        <w:t xml:space="preserve"> consisting of multiple TRPs and/or multiple beams</w:t>
      </w:r>
      <w:r>
        <w:t xml:space="preserve"> </w:t>
      </w:r>
      <w:r w:rsidR="00F77560">
        <w:t xml:space="preserve">as shown in Figure </w:t>
      </w:r>
      <w:r w:rsidR="00F77560">
        <w:rPr>
          <w:noProof/>
        </w:rPr>
        <w:t>1</w:t>
      </w:r>
      <w:r w:rsidR="00F77560">
        <w:t xml:space="preserve">.   </w:t>
      </w:r>
      <w:r w:rsidR="00582DE5">
        <w:t xml:space="preserve">Both types of RRM measurements are used for initial access and mobility management in NR.  </w:t>
      </w:r>
      <w:r>
        <w:t xml:space="preserve"> </w:t>
      </w:r>
      <w:r w:rsidR="00F77560">
        <w:t xml:space="preserve"> UE would perform long-term </w:t>
      </w:r>
      <w:r w:rsidR="00B179EE">
        <w:t>path loss</w:t>
      </w:r>
      <w:r w:rsidR="00F77560">
        <w:t xml:space="preserve"> measurements for </w:t>
      </w:r>
      <w:r w:rsidR="00AE4F93">
        <w:t>the selection/re</w:t>
      </w:r>
      <w:r w:rsidR="00260790">
        <w:t>selection of camping cell and handover.   The short-term channel quality measurements are used as the reference for dynamic selection of serving TRP and/or beam for spatial diversity gain</w:t>
      </w:r>
      <w:r w:rsidR="00606128">
        <w:t xml:space="preserve"> in beam management</w:t>
      </w:r>
      <w:r w:rsidR="00260790">
        <w:t xml:space="preserve">.   </w:t>
      </w:r>
    </w:p>
    <w:p w:rsidR="00F77560" w:rsidRDefault="00F77560"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F77560" w:rsidRDefault="00F77560" w:rsidP="009F3C95">
      <w:pPr>
        <w:pStyle w:val="maintext"/>
        <w:spacing w:before="0" w:after="0" w:line="240" w:lineRule="auto"/>
        <w:ind w:firstLineChars="0" w:firstLine="0"/>
      </w:pPr>
    </w:p>
    <w:p w:rsidR="00F77560" w:rsidRDefault="00F77560" w:rsidP="00F77560">
      <w:pPr>
        <w:pStyle w:val="maintext"/>
        <w:keepNext/>
        <w:spacing w:before="0" w:after="0" w:line="240" w:lineRule="auto"/>
        <w:ind w:firstLineChars="0" w:firstLine="0"/>
        <w:jc w:val="center"/>
      </w:pPr>
      <w:r w:rsidRPr="00F77560">
        <w:rPr>
          <w:noProof/>
          <w:lang w:val="en-US" w:eastAsia="zh-CN"/>
        </w:rPr>
        <w:drawing>
          <wp:inline distT="0" distB="0" distL="0" distR="0">
            <wp:extent cx="4007039" cy="1419367"/>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59" cy="2221960"/>
                      <a:chOff x="1475656" y="3933056"/>
                      <a:chExt cx="5040559" cy="2221960"/>
                    </a:xfrm>
                  </a:grpSpPr>
                  <a:grpSp>
                    <a:nvGrpSpPr>
                      <a:cNvPr id="44" name="组合 43"/>
                      <a:cNvGrpSpPr/>
                    </a:nvGrpSpPr>
                    <a:grpSpPr>
                      <a:xfrm>
                        <a:off x="1475656" y="3933056"/>
                        <a:ext cx="5040559" cy="2221960"/>
                        <a:chOff x="971600" y="3284984"/>
                        <a:chExt cx="7085585" cy="3230072"/>
                      </a:xfrm>
                    </a:grpSpPr>
                    <a:sp>
                      <a:nvSpPr>
                        <a:cNvPr id="17" name="泪滴形 16"/>
                        <a:cNvSpPr/>
                      </a:nvSpPr>
                      <a:spPr>
                        <a:xfrm rot="5400000" flipH="1">
                          <a:off x="1297830" y="4974977"/>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泪滴形 13"/>
                        <a:cNvSpPr/>
                      </a:nvSpPr>
                      <a:spPr>
                        <a:xfrm rot="1102659" flipH="1">
                          <a:off x="1677584" y="5503141"/>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泪滴形 14"/>
                        <a:cNvSpPr/>
                      </a:nvSpPr>
                      <a:spPr>
                        <a:xfrm rot="3221255" flipH="1">
                          <a:off x="1377458" y="5257224"/>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泪滴形 15"/>
                        <a:cNvSpPr/>
                      </a:nvSpPr>
                      <a:spPr>
                        <a:xfrm rot="15140871" flipH="1">
                          <a:off x="3813096" y="5279829"/>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泪滴形 18"/>
                        <a:cNvSpPr/>
                      </a:nvSpPr>
                      <a:spPr>
                        <a:xfrm rot="12995893" flipH="1">
                          <a:off x="3612371" y="5076261"/>
                          <a:ext cx="477382"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泪滴形 19"/>
                        <a:cNvSpPr/>
                      </a:nvSpPr>
                      <a:spPr>
                        <a:xfrm rot="10299653" flipH="1">
                          <a:off x="3400870" y="4972541"/>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4"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5508104" y="5805264"/>
                          <a:ext cx="360039" cy="271717"/>
                        </a:xfrm>
                        <a:prstGeom prst="rect">
                          <a:avLst/>
                        </a:prstGeom>
                        <a:noFill/>
                      </a:spPr>
                    </a:pic>
                    <a:sp>
                      <a:nvSpPr>
                        <a:cNvPr id="31" name="泪滴形 30"/>
                        <a:cNvSpPr/>
                      </a:nvSpPr>
                      <a:spPr>
                        <a:xfrm rot="1102659" flipH="1">
                          <a:off x="5205976" y="5060805"/>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泪滴形 31"/>
                        <a:cNvSpPr/>
                      </a:nvSpPr>
                      <a:spPr>
                        <a:xfrm rot="3221255" flipH="1">
                          <a:off x="4905851" y="4897185"/>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泪滴形 32"/>
                        <a:cNvSpPr/>
                      </a:nvSpPr>
                      <a:spPr>
                        <a:xfrm rot="15140871" flipH="1">
                          <a:off x="7125464" y="506380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泪滴形 33"/>
                        <a:cNvSpPr/>
                      </a:nvSpPr>
                      <a:spPr>
                        <a:xfrm rot="5400000" flipH="1">
                          <a:off x="4898230" y="468694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泪滴形 35"/>
                        <a:cNvSpPr/>
                      </a:nvSpPr>
                      <a:spPr>
                        <a:xfrm rot="12995893" flipH="1">
                          <a:off x="6774977" y="4877611"/>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泪滴形 36"/>
                        <a:cNvSpPr/>
                      </a:nvSpPr>
                      <a:spPr>
                        <a:xfrm rot="10299653" flipH="1">
                          <a:off x="6497211" y="482852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41"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355976" y="4437112"/>
                          <a:ext cx="360039" cy="271717"/>
                        </a:xfrm>
                        <a:prstGeom prst="rect">
                          <a:avLst/>
                        </a:prstGeom>
                        <a:noFill/>
                      </a:spPr>
                    </a:pic>
                    <a:sp>
                      <a:nvSpPr>
                        <a:cNvPr id="49" name="泪滴形 48"/>
                        <a:cNvSpPr/>
                      </a:nvSpPr>
                      <a:spPr>
                        <a:xfrm rot="3221255" flipH="1">
                          <a:off x="3249665" y="3889073"/>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泪滴形 49"/>
                        <a:cNvSpPr/>
                      </a:nvSpPr>
                      <a:spPr>
                        <a:xfrm rot="15140871" flipH="1">
                          <a:off x="6117352" y="392196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泪滴形 50"/>
                        <a:cNvSpPr/>
                      </a:nvSpPr>
                      <a:spPr>
                        <a:xfrm rot="5400000" flipH="1">
                          <a:off x="3170038" y="360682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泪滴形 52"/>
                        <a:cNvSpPr/>
                      </a:nvSpPr>
                      <a:spPr>
                        <a:xfrm rot="12995893" flipH="1">
                          <a:off x="5766866" y="3791388"/>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泪滴形 53"/>
                        <a:cNvSpPr/>
                      </a:nvSpPr>
                      <a:spPr>
                        <a:xfrm rot="10299653" flipH="1">
                          <a:off x="5437783" y="3758692"/>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90"/>
                        <a:cNvSpPr>
                          <a:spLocks noChangeAspect="1" noChangeArrowheads="1"/>
                        </a:cNvSpPr>
                      </a:nvSpPr>
                      <a:spPr bwMode="auto">
                        <a:xfrm>
                          <a:off x="1115616" y="530120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1-1</a:t>
                            </a:r>
                            <a:endParaRPr lang="en-US" sz="1200" dirty="0"/>
                          </a:p>
                        </a:txBody>
                        <a:useSpRect/>
                      </a:txSp>
                    </a:sp>
                    <a:sp>
                      <a:nvSpPr>
                        <a:cNvPr id="58" name="Oval 90"/>
                        <a:cNvSpPr>
                          <a:spLocks noChangeAspect="1" noChangeArrowheads="1"/>
                        </a:cNvSpPr>
                      </a:nvSpPr>
                      <a:spPr bwMode="auto">
                        <a:xfrm>
                          <a:off x="4499992" y="4797152"/>
                          <a:ext cx="1224136" cy="115970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2-1</a:t>
                            </a:r>
                            <a:endParaRPr lang="en-US" sz="1200" dirty="0"/>
                          </a:p>
                        </a:txBody>
                        <a:useSpRect/>
                      </a:txSp>
                    </a:sp>
                    <a:sp>
                      <a:nvSpPr>
                        <a:cNvPr id="59" name="Oval 90"/>
                        <a:cNvSpPr>
                          <a:spLocks noChangeAspect="1" noChangeArrowheads="1"/>
                        </a:cNvSpPr>
                      </a:nvSpPr>
                      <a:spPr bwMode="auto">
                        <a:xfrm>
                          <a:off x="6444208" y="494116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60" name="Oval 90"/>
                        <a:cNvSpPr>
                          <a:spLocks noChangeAspect="1" noChangeArrowheads="1"/>
                        </a:cNvSpPr>
                      </a:nvSpPr>
                      <a:spPr bwMode="auto">
                        <a:xfrm>
                          <a:off x="3059832" y="5085184"/>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1-2</a:t>
                            </a:r>
                            <a:endParaRPr lang="en-US" sz="1200" dirty="0"/>
                          </a:p>
                        </a:txBody>
                        <a:useSpRect/>
                      </a:txSp>
                    </a:sp>
                    <a:sp>
                      <a:nvSpPr>
                        <a:cNvPr id="4" name="Oval 90"/>
                        <a:cNvSpPr>
                          <a:spLocks noChangeAspect="1" noChangeArrowheads="1"/>
                        </a:cNvSpPr>
                      </a:nvSpPr>
                      <a:spPr bwMode="auto">
                        <a:xfrm>
                          <a:off x="971600" y="4653136"/>
                          <a:ext cx="3710866"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13" name="Picture 3"/>
                        <a:cNvPicPr>
                          <a:picLocks noChangeAspect="1" noChangeArrowheads="1"/>
                        </a:cNvPicPr>
                      </a:nvPicPr>
                      <a:blipFill>
                        <a:blip r:embed="rId9" cstate="print"/>
                        <a:srcRect/>
                        <a:stretch>
                          <a:fillRect/>
                        </a:stretch>
                      </a:blipFill>
                      <a:spPr bwMode="auto">
                        <a:xfrm>
                          <a:off x="1907704" y="5239488"/>
                          <a:ext cx="219075" cy="428625"/>
                        </a:xfrm>
                        <a:prstGeom prst="rect">
                          <a:avLst/>
                        </a:prstGeom>
                        <a:noFill/>
                        <a:ln w="9525">
                          <a:noFill/>
                          <a:miter lim="800000"/>
                          <a:headEnd/>
                          <a:tailEnd/>
                        </a:ln>
                      </a:spPr>
                    </a:pic>
                    <a:pic>
                      <a:nvPicPr>
                        <a:cNvPr id="5" name="Picture 4"/>
                        <a:cNvPicPr>
                          <a:picLocks noChangeAspect="1" noChangeArrowheads="1"/>
                        </a:cNvPicPr>
                      </a:nvPicPr>
                      <a:blipFill>
                        <a:blip r:embed="rId10" cstate="print"/>
                        <a:srcRect/>
                        <a:stretch>
                          <a:fillRect/>
                        </a:stretch>
                      </a:blipFill>
                      <a:spPr bwMode="auto">
                        <a:xfrm>
                          <a:off x="2627784" y="4941168"/>
                          <a:ext cx="216024" cy="436958"/>
                        </a:xfrm>
                        <a:prstGeom prst="rect">
                          <a:avLst/>
                        </a:prstGeom>
                        <a:noFill/>
                        <a:ln w="9525">
                          <a:noFill/>
                          <a:miter lim="800000"/>
                          <a:headEnd/>
                          <a:tailEnd/>
                        </a:ln>
                      </a:spPr>
                    </a:pic>
                    <a:sp>
                      <a:nvSpPr>
                        <a:cNvPr id="21" name="Oval 90"/>
                        <a:cNvSpPr>
                          <a:spLocks noChangeAspect="1" noChangeArrowheads="1"/>
                        </a:cNvSpPr>
                      </a:nvSpPr>
                      <a:spPr bwMode="auto">
                        <a:xfrm>
                          <a:off x="3995936" y="4581128"/>
                          <a:ext cx="4061249" cy="1933928"/>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1" name="Picture 3"/>
                        <a:cNvPicPr>
                          <a:picLocks noChangeAspect="1" noChangeArrowheads="1"/>
                        </a:cNvPicPr>
                      </a:nvPicPr>
                      <a:blipFill>
                        <a:blip r:embed="rId9" cstate="print"/>
                        <a:srcRect/>
                        <a:stretch>
                          <a:fillRect/>
                        </a:stretch>
                      </a:blipFill>
                      <a:spPr bwMode="auto">
                        <a:xfrm>
                          <a:off x="5508104" y="4941168"/>
                          <a:ext cx="219075" cy="428625"/>
                        </a:xfrm>
                        <a:prstGeom prst="rect">
                          <a:avLst/>
                        </a:prstGeom>
                        <a:noFill/>
                        <a:ln w="9525">
                          <a:noFill/>
                          <a:miter lim="800000"/>
                          <a:headEnd/>
                          <a:tailEnd/>
                        </a:ln>
                      </a:spPr>
                    </a:pic>
                    <a:sp>
                      <a:nvSpPr>
                        <a:cNvPr id="61" name="泪滴形 60"/>
                        <a:cNvSpPr/>
                      </a:nvSpPr>
                      <a:spPr>
                        <a:xfrm rot="20959176" flipH="1">
                          <a:off x="3630687" y="397168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90"/>
                        <a:cNvSpPr>
                          <a:spLocks noChangeAspect="1" noChangeArrowheads="1"/>
                        </a:cNvSpPr>
                      </a:nvSpPr>
                      <a:spPr bwMode="auto">
                        <a:xfrm>
                          <a:off x="2771800" y="3861048"/>
                          <a:ext cx="1475656" cy="79208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55" name="Oval 90"/>
                        <a:cNvSpPr>
                          <a:spLocks noChangeAspect="1" noChangeArrowheads="1"/>
                        </a:cNvSpPr>
                      </a:nvSpPr>
                      <a:spPr bwMode="auto">
                        <a:xfrm>
                          <a:off x="5292080" y="3789040"/>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3-2</a:t>
                            </a:r>
                            <a:endParaRPr lang="en-US" sz="1200" dirty="0"/>
                          </a:p>
                        </a:txBody>
                        <a:useSpRect/>
                      </a:txSp>
                    </a:sp>
                    <a:sp>
                      <a:nvSpPr>
                        <a:cNvPr id="38" name="Oval 90"/>
                        <a:cNvSpPr>
                          <a:spLocks noChangeAspect="1" noChangeArrowheads="1"/>
                        </a:cNvSpPr>
                      </a:nvSpPr>
                      <a:spPr bwMode="auto">
                        <a:xfrm>
                          <a:off x="2699792" y="3284984"/>
                          <a:ext cx="3974842"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28" name="Picture 3"/>
                        <a:cNvPicPr>
                          <a:picLocks noChangeAspect="1" noChangeArrowheads="1"/>
                        </a:cNvPicPr>
                      </a:nvPicPr>
                      <a:blipFill>
                        <a:blip r:embed="rId9" cstate="print"/>
                        <a:srcRect/>
                        <a:stretch>
                          <a:fillRect/>
                        </a:stretch>
                      </a:blipFill>
                      <a:spPr bwMode="auto">
                        <a:xfrm>
                          <a:off x="6732240" y="5301208"/>
                          <a:ext cx="219075" cy="428625"/>
                        </a:xfrm>
                        <a:prstGeom prst="rect">
                          <a:avLst/>
                        </a:prstGeom>
                        <a:noFill/>
                        <a:ln w="9525">
                          <a:noFill/>
                          <a:miter lim="800000"/>
                          <a:headEnd/>
                          <a:tailEnd/>
                        </a:ln>
                      </a:spPr>
                    </a:pic>
                    <a:pic>
                      <a:nvPicPr>
                        <a:cNvPr id="22" name="Picture 4"/>
                        <a:cNvPicPr>
                          <a:picLocks noChangeAspect="1" noChangeArrowheads="1"/>
                        </a:cNvPicPr>
                      </a:nvPicPr>
                      <a:blipFill>
                        <a:blip r:embed="rId10" cstate="print"/>
                        <a:srcRect/>
                        <a:stretch>
                          <a:fillRect/>
                        </a:stretch>
                      </a:blipFill>
                      <a:spPr bwMode="auto">
                        <a:xfrm>
                          <a:off x="6012160" y="5085184"/>
                          <a:ext cx="216024" cy="436958"/>
                        </a:xfrm>
                        <a:prstGeom prst="rect">
                          <a:avLst/>
                        </a:prstGeom>
                        <a:noFill/>
                        <a:ln w="9525">
                          <a:noFill/>
                          <a:miter lim="800000"/>
                          <a:headEnd/>
                          <a:tailEnd/>
                        </a:ln>
                      </a:spPr>
                    </a:pic>
                    <a:pic>
                      <a:nvPicPr>
                        <a:cNvPr id="30" name="Picture 3"/>
                        <a:cNvPicPr>
                          <a:picLocks noChangeAspect="1" noChangeArrowheads="1"/>
                        </a:cNvPicPr>
                      </a:nvPicPr>
                      <a:blipFill>
                        <a:blip r:embed="rId9" cstate="print"/>
                        <a:srcRect/>
                        <a:stretch>
                          <a:fillRect/>
                        </a:stretch>
                      </a:blipFill>
                      <a:spPr bwMode="auto">
                        <a:xfrm>
                          <a:off x="5724128" y="4077072"/>
                          <a:ext cx="219075" cy="428625"/>
                        </a:xfrm>
                        <a:prstGeom prst="rect">
                          <a:avLst/>
                        </a:prstGeom>
                        <a:noFill/>
                        <a:ln w="9525">
                          <a:noFill/>
                          <a:miter lim="800000"/>
                          <a:headEnd/>
                          <a:tailEnd/>
                        </a:ln>
                      </a:spPr>
                    </a:pic>
                    <a:pic>
                      <a:nvPicPr>
                        <a:cNvPr id="47" name="Picture 3"/>
                        <a:cNvPicPr>
                          <a:picLocks noChangeAspect="1" noChangeArrowheads="1"/>
                        </a:cNvPicPr>
                      </a:nvPicPr>
                      <a:blipFill>
                        <a:blip r:embed="rId9" cstate="print"/>
                        <a:srcRect/>
                        <a:stretch>
                          <a:fillRect/>
                        </a:stretch>
                      </a:blipFill>
                      <a:spPr bwMode="auto">
                        <a:xfrm>
                          <a:off x="3563888" y="5301208"/>
                          <a:ext cx="219075" cy="428625"/>
                        </a:xfrm>
                        <a:prstGeom prst="rect">
                          <a:avLst/>
                        </a:prstGeom>
                        <a:noFill/>
                        <a:ln w="9525">
                          <a:noFill/>
                          <a:miter lim="800000"/>
                          <a:headEnd/>
                          <a:tailEnd/>
                        </a:ln>
                      </a:spPr>
                    </a:pic>
                    <a:pic>
                      <a:nvPicPr>
                        <a:cNvPr id="45" name="Picture 3"/>
                        <a:cNvPicPr>
                          <a:picLocks noChangeAspect="1" noChangeArrowheads="1"/>
                        </a:cNvPicPr>
                      </a:nvPicPr>
                      <a:blipFill>
                        <a:blip r:embed="rId9" cstate="print"/>
                        <a:srcRect/>
                        <a:stretch>
                          <a:fillRect/>
                        </a:stretch>
                      </a:blipFill>
                      <a:spPr bwMode="auto">
                        <a:xfrm>
                          <a:off x="3707904" y="3645024"/>
                          <a:ext cx="219075" cy="428625"/>
                        </a:xfrm>
                        <a:prstGeom prst="rect">
                          <a:avLst/>
                        </a:prstGeom>
                        <a:noFill/>
                        <a:ln w="9525">
                          <a:noFill/>
                          <a:miter lim="800000"/>
                          <a:headEnd/>
                          <a:tailEnd/>
                        </a:ln>
                      </a:spPr>
                    </a:pic>
                    <a:pic>
                      <a:nvPicPr>
                        <a:cNvPr id="39" name="Picture 4"/>
                        <a:cNvPicPr>
                          <a:picLocks noChangeAspect="1" noChangeArrowheads="1"/>
                        </a:cNvPicPr>
                      </a:nvPicPr>
                      <a:blipFill>
                        <a:blip r:embed="rId10" cstate="print"/>
                        <a:srcRect/>
                        <a:stretch>
                          <a:fillRect/>
                        </a:stretch>
                      </a:blipFill>
                      <a:spPr bwMode="auto">
                        <a:xfrm>
                          <a:off x="4572000" y="3717032"/>
                          <a:ext cx="216024" cy="436958"/>
                        </a:xfrm>
                        <a:prstGeom prst="rect">
                          <a:avLst/>
                        </a:prstGeom>
                        <a:noFill/>
                        <a:ln w="9525">
                          <a:noFill/>
                          <a:miter lim="800000"/>
                          <a:headEnd/>
                          <a:tailEnd/>
                        </a:ln>
                      </a:spPr>
                    </a:pic>
                    <a:pic>
                      <a:nvPicPr>
                        <a:cNvPr id="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15816" y="4797152"/>
                          <a:ext cx="360039" cy="271717"/>
                        </a:xfrm>
                        <a:prstGeom prst="rect">
                          <a:avLst/>
                        </a:prstGeom>
                        <a:noFill/>
                      </a:spPr>
                    </a:pic>
                  </a:grpSp>
                </lc:lockedCanvas>
              </a:graphicData>
            </a:graphic>
          </wp:inline>
        </w:drawing>
      </w:r>
    </w:p>
    <w:p w:rsidR="00F77560" w:rsidRDefault="00F77560" w:rsidP="00F77560">
      <w:pPr>
        <w:pStyle w:val="Caption"/>
      </w:pPr>
      <w:bookmarkStart w:id="0" w:name="_Ref471328288"/>
      <w:r>
        <w:t>Figure 1</w:t>
      </w:r>
      <w:bookmarkEnd w:id="0"/>
      <w:r>
        <w:t>: Illustration of NR network with multiple TRPs and multi-beam configuration</w:t>
      </w:r>
    </w:p>
    <w:p w:rsidR="00582DE5" w:rsidRDefault="00582DE5" w:rsidP="009F3C95">
      <w:pPr>
        <w:pStyle w:val="maintext"/>
        <w:spacing w:before="0" w:after="0" w:line="240" w:lineRule="auto"/>
        <w:ind w:firstLineChars="0" w:firstLine="0"/>
      </w:pPr>
    </w:p>
    <w:p w:rsidR="00D74AAA" w:rsidRPr="00B93003" w:rsidRDefault="001C592C" w:rsidP="00597D30">
      <w:pPr>
        <w:pStyle w:val="maintext"/>
        <w:spacing w:before="0" w:after="0" w:line="240" w:lineRule="auto"/>
        <w:ind w:firstLineChars="0" w:firstLine="0"/>
        <w:rPr>
          <w:lang w:val="en-US"/>
        </w:rPr>
      </w:pPr>
      <w:r>
        <w:t>The initial access procedure starts with the UE acquiring the NR system DL transmission timing</w:t>
      </w:r>
      <w:r w:rsidR="00BC0223">
        <w:t xml:space="preserve"> and the cell ID</w:t>
      </w:r>
      <w:r>
        <w:t xml:space="preserve"> by detection of t</w:t>
      </w:r>
      <w:r w:rsidR="00263119">
        <w:t>he</w:t>
      </w:r>
      <w:r w:rsidR="00BC0223">
        <w:t xml:space="preserve"> NR-PSS and NR-SSS</w:t>
      </w:r>
      <w:r>
        <w:t>.  UE might detect more tha</w:t>
      </w:r>
      <w:r w:rsidR="00D74AAA">
        <w:t>n one se</w:t>
      </w:r>
      <w:r w:rsidR="00263119">
        <w:t xml:space="preserve">t of DL </w:t>
      </w:r>
      <w:r w:rsidR="00D74AAA">
        <w:t>NR-PSS and NR-SSS</w:t>
      </w:r>
      <w:r w:rsidR="00263119">
        <w:t xml:space="preserve"> in multi-beam configuration</w:t>
      </w:r>
      <w:r w:rsidR="00D74AAA">
        <w:t xml:space="preserve">. </w:t>
      </w:r>
      <w:r>
        <w:t xml:space="preserve"> UE will select the strongest detected synchronization sign</w:t>
      </w:r>
      <w:r w:rsidR="00D74AAA">
        <w:t xml:space="preserve">als as the </w:t>
      </w:r>
      <w:r w:rsidR="00260790">
        <w:t xml:space="preserve">camping cell and use its DL timing as the reference timing. </w:t>
      </w:r>
      <w:r w:rsidR="009A682F">
        <w:t xml:space="preserve">  </w:t>
      </w:r>
      <w:r w:rsidR="00D74AAA">
        <w:t xml:space="preserve">UE will try to decode the NR-PBCH and </w:t>
      </w:r>
      <w:r>
        <w:t>p</w:t>
      </w:r>
      <w:r w:rsidR="00AE4F93">
        <w:t>erforms the RRM measurements.</w:t>
      </w:r>
    </w:p>
    <w:p w:rsidR="006708CF" w:rsidRDefault="006708CF" w:rsidP="00227E97">
      <w:pPr>
        <w:pStyle w:val="Heading2"/>
      </w:pPr>
      <w:r>
        <w:t>SS block time index ambiguity with multi-TRPs</w:t>
      </w:r>
    </w:p>
    <w:p w:rsidR="006B06CD" w:rsidRDefault="00B563ED" w:rsidP="00B563ED">
      <w:pPr>
        <w:rPr>
          <w:rFonts w:cs="Arial"/>
          <w:lang w:val="en-US"/>
        </w:rPr>
      </w:pPr>
      <w:r>
        <w:rPr>
          <w:rFonts w:cs="Arial"/>
          <w:lang w:val="en-US"/>
        </w:rPr>
        <w:t>Based on the RAN1 agreements, there can be multiple SS</w:t>
      </w:r>
      <w:r w:rsidR="007065E3">
        <w:rPr>
          <w:rFonts w:cs="Arial"/>
          <w:lang w:val="en-US"/>
        </w:rPr>
        <w:t xml:space="preserve"> blocks in </w:t>
      </w:r>
      <w:r w:rsidR="00427B59">
        <w:rPr>
          <w:rFonts w:cs="Arial"/>
          <w:lang w:val="en-US"/>
        </w:rPr>
        <w:t>an SS</w:t>
      </w:r>
      <w:r w:rsidR="007065E3">
        <w:rPr>
          <w:rFonts w:cs="Arial"/>
          <w:lang w:val="en-US"/>
        </w:rPr>
        <w:t xml:space="preserve"> block burst set. T</w:t>
      </w:r>
      <w:r>
        <w:rPr>
          <w:rFonts w:cs="Arial"/>
          <w:lang w:val="en-US"/>
        </w:rPr>
        <w:t xml:space="preserve">he </w:t>
      </w:r>
      <w:r w:rsidR="007065E3">
        <w:rPr>
          <w:rFonts w:cs="Arial"/>
          <w:lang w:val="en-US"/>
        </w:rPr>
        <w:t xml:space="preserve">locations for the possible </w:t>
      </w:r>
      <w:r w:rsidRPr="00AA6A34">
        <w:rPr>
          <w:lang w:val="en-US"/>
        </w:rPr>
        <w:t>SS block</w:t>
      </w:r>
      <w:r w:rsidR="007065E3">
        <w:rPr>
          <w:lang w:val="en-US"/>
        </w:rPr>
        <w:t xml:space="preserve">s in </w:t>
      </w:r>
      <w:r w:rsidR="00427B59">
        <w:rPr>
          <w:lang w:val="en-US"/>
        </w:rPr>
        <w:t>an SS</w:t>
      </w:r>
      <w:r w:rsidR="007065E3">
        <w:rPr>
          <w:lang w:val="en-US"/>
        </w:rPr>
        <w:t xml:space="preserve"> block burst set</w:t>
      </w:r>
      <w:r w:rsidR="007065E3">
        <w:rPr>
          <w:rFonts w:cs="Arial"/>
          <w:lang w:val="en-US"/>
        </w:rPr>
        <w:t xml:space="preserve"> </w:t>
      </w:r>
      <w:r w:rsidR="00CE5A93">
        <w:rPr>
          <w:rFonts w:cs="Arial"/>
          <w:lang w:val="en-US"/>
        </w:rPr>
        <w:t xml:space="preserve">will </w:t>
      </w:r>
      <w:r w:rsidR="007065E3">
        <w:rPr>
          <w:rFonts w:cs="Arial"/>
          <w:lang w:val="en-US"/>
        </w:rPr>
        <w:t xml:space="preserve">be </w:t>
      </w:r>
      <w:r w:rsidR="007065E3">
        <w:rPr>
          <w:lang w:val="en-US"/>
        </w:rPr>
        <w:t xml:space="preserve">indicated by </w:t>
      </w:r>
      <w:r w:rsidR="007065E3">
        <w:rPr>
          <w:rFonts w:cs="Arial"/>
          <w:lang w:val="en-US"/>
        </w:rPr>
        <w:t>SS block time index</w:t>
      </w:r>
      <w:r w:rsidR="00CE5A93">
        <w:rPr>
          <w:rFonts w:cs="Arial"/>
          <w:lang w:val="en-US"/>
        </w:rPr>
        <w:t xml:space="preserve"> and defined in NR specification.</w:t>
      </w:r>
      <w:r w:rsidR="00CE5A93">
        <w:rPr>
          <w:lang w:val="en-US"/>
        </w:rPr>
        <w:t xml:space="preserve"> </w:t>
      </w:r>
      <w:r w:rsidR="00152555">
        <w:rPr>
          <w:bCs/>
          <w:lang w:val="en-US"/>
        </w:rPr>
        <w:t xml:space="preserve">However, there may be an issue of </w:t>
      </w:r>
      <w:r w:rsidR="00152555" w:rsidRPr="00334A69">
        <w:rPr>
          <w:bCs/>
          <w:lang w:val="en-US"/>
        </w:rPr>
        <w:t>SS block time index ambiguity with multiple TRPs</w:t>
      </w:r>
      <w:r w:rsidR="00152555">
        <w:rPr>
          <w:bCs/>
          <w:lang w:val="en-US"/>
        </w:rPr>
        <w:t xml:space="preserve"> as discussed in the following.</w:t>
      </w:r>
    </w:p>
    <w:p w:rsidR="00315161" w:rsidRDefault="00B563ED" w:rsidP="00B563ED">
      <w:pPr>
        <w:rPr>
          <w:rFonts w:cs="Arial"/>
          <w:lang w:val="en-US"/>
        </w:rPr>
      </w:pPr>
      <w:r>
        <w:rPr>
          <w:lang w:val="en-US"/>
        </w:rPr>
        <w:t>For</w:t>
      </w:r>
      <w:r>
        <w:rPr>
          <w:rFonts w:cs="Arial"/>
          <w:lang w:val="en-US"/>
        </w:rPr>
        <w:t xml:space="preserve"> a cell without multiple TRPs, it is clear that when a UE detects </w:t>
      </w:r>
      <w:r w:rsidR="00427B59">
        <w:rPr>
          <w:rFonts w:cs="Arial"/>
          <w:lang w:val="en-US"/>
        </w:rPr>
        <w:t>an SS</w:t>
      </w:r>
      <w:r>
        <w:rPr>
          <w:rFonts w:cs="Arial"/>
          <w:lang w:val="en-US"/>
        </w:rPr>
        <w:t xml:space="preserve"> block, the UE will obtain unambiguously the SS block time informati</w:t>
      </w:r>
      <w:r w:rsidR="006B06CD">
        <w:rPr>
          <w:rFonts w:cs="Arial"/>
          <w:lang w:val="en-US"/>
        </w:rPr>
        <w:t>on from the SS block time index</w:t>
      </w:r>
      <w:r w:rsidR="00315161">
        <w:rPr>
          <w:rFonts w:cs="Arial"/>
          <w:lang w:val="en-US"/>
        </w:rPr>
        <w:t>. The UE will select the PRACH resource using the SS block time index based on the configured association of the SS block and the PRACH resource. When the gNB detects the</w:t>
      </w:r>
      <w:r>
        <w:rPr>
          <w:rFonts w:cs="Arial"/>
          <w:lang w:val="en-US"/>
        </w:rPr>
        <w:t xml:space="preserve"> PRACH preamble from the UE, the gNB will be able to </w:t>
      </w:r>
      <w:r w:rsidR="00315161">
        <w:rPr>
          <w:rFonts w:cs="Arial"/>
          <w:lang w:val="en-US"/>
        </w:rPr>
        <w:t>determine</w:t>
      </w:r>
      <w:r>
        <w:rPr>
          <w:rFonts w:cs="Arial"/>
          <w:lang w:val="en-US"/>
        </w:rPr>
        <w:t xml:space="preserve"> the </w:t>
      </w:r>
      <w:r w:rsidR="00315161">
        <w:rPr>
          <w:rFonts w:cs="Arial"/>
          <w:lang w:val="en-US"/>
        </w:rPr>
        <w:t xml:space="preserve">corresponding </w:t>
      </w:r>
      <w:r>
        <w:rPr>
          <w:rFonts w:cs="Arial"/>
          <w:lang w:val="en-US"/>
        </w:rPr>
        <w:t>the SS-block</w:t>
      </w:r>
      <w:r w:rsidR="00315161">
        <w:rPr>
          <w:rFonts w:cs="Arial"/>
          <w:lang w:val="en-US"/>
        </w:rPr>
        <w:t xml:space="preserve"> that the UE detected. </w:t>
      </w:r>
    </w:p>
    <w:p w:rsidR="00B563ED" w:rsidRDefault="00315161" w:rsidP="00B563ED">
      <w:pPr>
        <w:rPr>
          <w:rFonts w:cs="Arial"/>
          <w:lang w:val="en-US"/>
        </w:rPr>
      </w:pPr>
      <w:r>
        <w:rPr>
          <w:lang w:val="en-US"/>
        </w:rPr>
        <w:t>Similarly, f</w:t>
      </w:r>
      <w:r w:rsidR="00B563ED">
        <w:rPr>
          <w:lang w:val="en-US"/>
        </w:rPr>
        <w:t>or</w:t>
      </w:r>
      <w:r w:rsidR="00B563ED">
        <w:rPr>
          <w:rFonts w:cs="Arial"/>
          <w:lang w:val="en-US"/>
        </w:rPr>
        <w:t xml:space="preserve"> a cell with multiple TRPs</w:t>
      </w:r>
      <w:r w:rsidR="006B06CD">
        <w:rPr>
          <w:rFonts w:cs="Arial"/>
          <w:lang w:val="en-US"/>
        </w:rPr>
        <w:t xml:space="preserve">, if </w:t>
      </w:r>
      <w:r>
        <w:rPr>
          <w:rFonts w:cs="Arial"/>
          <w:lang w:val="en-US"/>
        </w:rPr>
        <w:t xml:space="preserve">all TRPs in a cell use distinguished </w:t>
      </w:r>
      <w:r w:rsidR="007140A3">
        <w:rPr>
          <w:rFonts w:cs="Arial"/>
          <w:lang w:val="en-US"/>
        </w:rPr>
        <w:t>SS blo</w:t>
      </w:r>
      <w:r>
        <w:rPr>
          <w:rFonts w:cs="Arial"/>
          <w:lang w:val="en-US"/>
        </w:rPr>
        <w:t>ck time index set</w:t>
      </w:r>
      <w:r w:rsidR="007140A3">
        <w:rPr>
          <w:rFonts w:cs="Arial"/>
          <w:lang w:val="en-US"/>
        </w:rPr>
        <w:t>s</w:t>
      </w:r>
      <w:r>
        <w:rPr>
          <w:rFonts w:cs="Arial"/>
          <w:lang w:val="en-US"/>
        </w:rPr>
        <w:t xml:space="preserve">, i.e., </w:t>
      </w:r>
      <w:r w:rsidR="00B563ED">
        <w:rPr>
          <w:rFonts w:cs="Arial"/>
          <w:lang w:val="en-US"/>
        </w:rPr>
        <w:t xml:space="preserve">no </w:t>
      </w:r>
      <w:r>
        <w:rPr>
          <w:rFonts w:cs="Arial"/>
          <w:lang w:val="en-US"/>
        </w:rPr>
        <w:t xml:space="preserve">duplicated </w:t>
      </w:r>
      <w:r w:rsidR="00B563ED">
        <w:rPr>
          <w:rFonts w:cs="Arial"/>
          <w:lang w:val="en-US"/>
        </w:rPr>
        <w:t xml:space="preserve">SS block time index </w:t>
      </w:r>
      <w:r w:rsidR="006B06CD">
        <w:rPr>
          <w:rFonts w:cs="Arial"/>
          <w:lang w:val="en-US"/>
        </w:rPr>
        <w:t xml:space="preserve">is </w:t>
      </w:r>
      <w:r w:rsidR="00B563ED">
        <w:rPr>
          <w:rFonts w:cs="Arial"/>
          <w:lang w:val="en-US"/>
        </w:rPr>
        <w:t>in any two TRPs,</w:t>
      </w:r>
      <w:r w:rsidR="00B563ED">
        <w:t xml:space="preserve"> </w:t>
      </w:r>
      <w:r w:rsidR="00B563ED">
        <w:rPr>
          <w:rFonts w:cs="Arial"/>
          <w:lang w:val="en-US"/>
        </w:rPr>
        <w:t xml:space="preserve">when a UE detects </w:t>
      </w:r>
      <w:r w:rsidR="00427B59">
        <w:rPr>
          <w:rFonts w:cs="Arial"/>
          <w:lang w:val="en-US"/>
        </w:rPr>
        <w:t>an SS</w:t>
      </w:r>
      <w:r w:rsidR="00B563ED">
        <w:rPr>
          <w:rFonts w:cs="Arial"/>
          <w:lang w:val="en-US"/>
        </w:rPr>
        <w:t xml:space="preserve"> block, the UE will </w:t>
      </w:r>
      <w:r>
        <w:rPr>
          <w:rFonts w:cs="Arial"/>
          <w:lang w:val="en-US"/>
        </w:rPr>
        <w:t xml:space="preserve">still </w:t>
      </w:r>
      <w:r w:rsidR="00B563ED">
        <w:rPr>
          <w:rFonts w:cs="Arial"/>
          <w:lang w:val="en-US"/>
        </w:rPr>
        <w:t>obtain unambiguously the SS block time information from the SS block time index</w:t>
      </w:r>
      <w:r w:rsidR="006B06CD">
        <w:rPr>
          <w:rFonts w:cs="Arial"/>
          <w:lang w:val="en-US"/>
        </w:rPr>
        <w:t xml:space="preserve">, </w:t>
      </w:r>
      <w:r>
        <w:rPr>
          <w:rFonts w:cs="Arial"/>
          <w:lang w:val="en-US"/>
        </w:rPr>
        <w:t xml:space="preserve">assuming </w:t>
      </w:r>
      <w:r>
        <w:t xml:space="preserve">ideal time synchronization across all TRPs in a cell </w:t>
      </w:r>
      <w:r w:rsidR="006B06CD">
        <w:rPr>
          <w:rFonts w:cs="Arial"/>
          <w:lang w:val="en-US"/>
        </w:rPr>
        <w:t xml:space="preserve">according to </w:t>
      </w:r>
      <w:r w:rsidR="006B06CD">
        <w:t>RAN2’s agreement</w:t>
      </w:r>
      <w:r>
        <w:t>.</w:t>
      </w:r>
      <w:r w:rsidR="006B06CD">
        <w:t xml:space="preserve"> </w:t>
      </w:r>
      <w:r w:rsidR="004C5666">
        <w:t>In addition, t</w:t>
      </w:r>
      <w:r w:rsidR="006B06CD">
        <w:rPr>
          <w:rFonts w:cs="Arial"/>
          <w:lang w:val="en-US"/>
        </w:rPr>
        <w:t xml:space="preserve">he network should be able to configure </w:t>
      </w:r>
      <w:r w:rsidR="004C5666">
        <w:rPr>
          <w:rFonts w:cs="Arial"/>
          <w:lang w:val="en-US"/>
        </w:rPr>
        <w:t xml:space="preserve">one to one </w:t>
      </w:r>
      <w:r w:rsidR="006B06CD">
        <w:rPr>
          <w:rFonts w:cs="Arial"/>
          <w:lang w:val="en-US"/>
        </w:rPr>
        <w:t>association between SS block</w:t>
      </w:r>
      <w:r>
        <w:rPr>
          <w:rFonts w:cs="Arial"/>
          <w:lang w:val="en-US"/>
        </w:rPr>
        <w:t xml:space="preserve"> time index</w:t>
      </w:r>
      <w:r w:rsidR="004C5666">
        <w:rPr>
          <w:rFonts w:cs="Arial"/>
          <w:lang w:val="en-US"/>
        </w:rPr>
        <w:t xml:space="preserve"> and the PRACH resources.</w:t>
      </w:r>
      <w:r w:rsidR="006B06CD">
        <w:rPr>
          <w:rFonts w:cs="Arial"/>
          <w:lang w:val="en-US"/>
        </w:rPr>
        <w:t xml:space="preserve"> Thus, </w:t>
      </w:r>
      <w:r w:rsidR="004C5666">
        <w:rPr>
          <w:rFonts w:cs="Arial"/>
          <w:lang w:val="en-US"/>
        </w:rPr>
        <w:t>when the gNB detects the PRACH preamble from the UE, the gNB will be able to determine the corresponding the SS-block that the UE detected.</w:t>
      </w:r>
    </w:p>
    <w:p w:rsidR="00B563ED" w:rsidRDefault="007140A3" w:rsidP="00B563ED">
      <w:pPr>
        <w:rPr>
          <w:rFonts w:cs="Arial"/>
          <w:lang w:val="en-US"/>
        </w:rPr>
      </w:pPr>
      <w:r>
        <w:rPr>
          <w:rFonts w:cs="Arial"/>
          <w:lang w:val="en-US"/>
        </w:rPr>
        <w:lastRenderedPageBreak/>
        <w:t>However, f</w:t>
      </w:r>
      <w:r w:rsidR="00B563ED">
        <w:rPr>
          <w:rFonts w:cs="Arial"/>
          <w:lang w:val="en-US"/>
        </w:rPr>
        <w:t>or a cell with multiple TRPs</w:t>
      </w:r>
      <w:r w:rsidR="006B06CD">
        <w:rPr>
          <w:rFonts w:cs="Arial"/>
          <w:lang w:val="en-US"/>
        </w:rPr>
        <w:t xml:space="preserve">, </w:t>
      </w:r>
      <w:r>
        <w:rPr>
          <w:rFonts w:cs="Arial"/>
          <w:lang w:val="en-US"/>
        </w:rPr>
        <w:t>if TRPs in a cell do</w:t>
      </w:r>
      <w:r w:rsidR="009D3DCD">
        <w:rPr>
          <w:rFonts w:cs="Arial"/>
          <w:lang w:val="en-US"/>
        </w:rPr>
        <w:t>es</w:t>
      </w:r>
      <w:r>
        <w:rPr>
          <w:rFonts w:cs="Arial"/>
          <w:lang w:val="en-US"/>
        </w:rPr>
        <w:t xml:space="preserve"> not use distinguished SS block time index sets, i.e., one or more SS block time indexes are used in two or more TRPs,</w:t>
      </w:r>
      <w:r>
        <w:t xml:space="preserve"> </w:t>
      </w:r>
      <w:r>
        <w:rPr>
          <w:rFonts w:cs="Arial"/>
          <w:lang w:val="en-US"/>
        </w:rPr>
        <w:t xml:space="preserve">when a UE detects </w:t>
      </w:r>
      <w:r w:rsidR="00427B59">
        <w:rPr>
          <w:rFonts w:cs="Arial"/>
          <w:lang w:val="en-US"/>
        </w:rPr>
        <w:t>an SS</w:t>
      </w:r>
      <w:r>
        <w:rPr>
          <w:rFonts w:cs="Arial"/>
          <w:lang w:val="en-US"/>
        </w:rPr>
        <w:t xml:space="preserve"> block, the UE may not </w:t>
      </w:r>
      <w:r w:rsidR="00A0214F">
        <w:rPr>
          <w:rFonts w:cs="Arial"/>
          <w:lang w:val="en-US"/>
        </w:rPr>
        <w:t xml:space="preserve">know </w:t>
      </w:r>
      <w:r w:rsidR="00050ACA">
        <w:rPr>
          <w:rFonts w:cs="Arial"/>
          <w:lang w:val="en-US"/>
        </w:rPr>
        <w:t xml:space="preserve">corresponding TRP. </w:t>
      </w:r>
      <w:r w:rsidR="00B2387D">
        <w:rPr>
          <w:rFonts w:cs="Arial"/>
          <w:lang w:val="en-US"/>
        </w:rPr>
        <w:t>Figure 2</w:t>
      </w:r>
      <w:r>
        <w:rPr>
          <w:rFonts w:cs="Arial"/>
          <w:lang w:val="en-US"/>
        </w:rPr>
        <w:t xml:space="preserve"> shows one</w:t>
      </w:r>
      <w:r w:rsidR="00140840">
        <w:rPr>
          <w:rFonts w:cs="Arial"/>
          <w:lang w:val="en-US"/>
        </w:rPr>
        <w:t xml:space="preserve"> example</w:t>
      </w:r>
      <w:r>
        <w:rPr>
          <w:rFonts w:cs="Arial"/>
          <w:lang w:val="en-US"/>
        </w:rPr>
        <w:t xml:space="preserve">, where </w:t>
      </w:r>
      <w:r w:rsidR="00B563ED">
        <w:rPr>
          <w:rFonts w:cs="Arial"/>
          <w:lang w:val="en-US"/>
        </w:rPr>
        <w:t xml:space="preserve">a </w:t>
      </w:r>
      <w:r w:rsidR="00B563ED" w:rsidRPr="00EA3810">
        <w:rPr>
          <w:rFonts w:cs="Arial"/>
          <w:lang w:val="en-US"/>
        </w:rPr>
        <w:t xml:space="preserve">UE </w:t>
      </w:r>
      <w:r w:rsidR="00B563ED">
        <w:rPr>
          <w:rFonts w:cs="Arial"/>
          <w:lang w:val="en-US"/>
        </w:rPr>
        <w:t xml:space="preserve">is located at </w:t>
      </w:r>
      <w:r>
        <w:rPr>
          <w:rFonts w:cs="Arial"/>
          <w:lang w:val="en-US"/>
        </w:rPr>
        <w:t xml:space="preserve">a place </w:t>
      </w:r>
      <w:r w:rsidR="00B563ED">
        <w:rPr>
          <w:rFonts w:cs="Arial"/>
          <w:lang w:val="en-US"/>
        </w:rPr>
        <w:t xml:space="preserve">where the </w:t>
      </w:r>
      <w:r>
        <w:rPr>
          <w:rFonts w:cs="Arial"/>
          <w:lang w:val="en-US"/>
        </w:rPr>
        <w:t xml:space="preserve">UE is able to detect SS blocks from all three TRPs in a cell. In the Figure, it is assumed the UE may be able to detect </w:t>
      </w:r>
      <w:r w:rsidR="00B563ED">
        <w:rPr>
          <w:rFonts w:cs="Arial"/>
          <w:lang w:val="en-US"/>
        </w:rPr>
        <w:t xml:space="preserve">the SS block 2 from </w:t>
      </w:r>
      <w:r>
        <w:rPr>
          <w:rFonts w:cs="Arial"/>
          <w:lang w:val="en-US"/>
        </w:rPr>
        <w:t xml:space="preserve">both TRP2 and TRP3. </w:t>
      </w:r>
      <w:r w:rsidR="00B563ED">
        <w:rPr>
          <w:rFonts w:cs="Arial"/>
          <w:lang w:val="en-US"/>
        </w:rPr>
        <w:t xml:space="preserve">When the UE detects SS block 2, the </w:t>
      </w:r>
      <w:r w:rsidR="00140840">
        <w:rPr>
          <w:rFonts w:cs="Arial"/>
          <w:lang w:val="en-US"/>
        </w:rPr>
        <w:t xml:space="preserve">UE may not know the </w:t>
      </w:r>
      <w:r w:rsidR="00B563ED">
        <w:rPr>
          <w:rFonts w:cs="Arial"/>
          <w:lang w:val="en-US"/>
        </w:rPr>
        <w:t xml:space="preserve">detected SS block 2 </w:t>
      </w:r>
      <w:r w:rsidR="00140840">
        <w:rPr>
          <w:rFonts w:cs="Arial"/>
          <w:lang w:val="en-US"/>
        </w:rPr>
        <w:t xml:space="preserve">is </w:t>
      </w:r>
      <w:r w:rsidR="00B83DFF">
        <w:rPr>
          <w:rFonts w:cs="Arial"/>
          <w:lang w:val="en-US"/>
        </w:rPr>
        <w:t>from TRP1 or TRP2.</w:t>
      </w:r>
      <w:r w:rsidR="00A34A11">
        <w:rPr>
          <w:rFonts w:cs="Arial"/>
          <w:lang w:val="en-US"/>
        </w:rPr>
        <w:t xml:space="preserve"> </w:t>
      </w:r>
      <w:r w:rsidR="00AC1176" w:rsidRPr="00AC1176">
        <w:rPr>
          <w:rFonts w:cs="Arial"/>
          <w:lang w:val="en-US"/>
        </w:rPr>
        <w:t>In this case, if PRACH resources are only associated with SS block indexes but not TRP indexes, the gNB detects the PRACH preamble from the UE, the gNB will not know the associated TRP, and thus unable to decide which TRP and which DL Tx beam should be used for the transmission of the Msg.2 in PRACH procedure.</w:t>
      </w:r>
      <w:r w:rsidR="00492168">
        <w:rPr>
          <w:rFonts w:cs="Arial"/>
          <w:lang w:val="en-US"/>
        </w:rPr>
        <w:t xml:space="preserve"> </w:t>
      </w:r>
    </w:p>
    <w:p w:rsidR="007140A3" w:rsidRDefault="007140A3" w:rsidP="00B563ED">
      <w:pPr>
        <w:rPr>
          <w:rFonts w:cs="Arial"/>
          <w:lang w:val="en-US"/>
        </w:rPr>
      </w:pPr>
    </w:p>
    <w:p w:rsidR="00B563ED" w:rsidRDefault="004A5941" w:rsidP="00B563ED">
      <w:pPr>
        <w:jc w:val="center"/>
        <w:rPr>
          <w:bCs/>
        </w:rPr>
      </w:pPr>
      <w:r>
        <w:rPr>
          <w:bCs/>
          <w:noProof/>
          <w:lang w:val="en-US" w:eastAsia="zh-CN"/>
        </w:rPr>
        <w:drawing>
          <wp:inline distT="0" distB="0" distL="0" distR="0">
            <wp:extent cx="3773606" cy="2818262"/>
            <wp:effectExtent l="19050" t="0" r="0" b="0"/>
            <wp:docPr id="7"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3600400"/>
                      <a:chOff x="251520" y="1628800"/>
                      <a:chExt cx="4824536" cy="3600400"/>
                    </a:xfrm>
                  </a:grpSpPr>
                  <a:grpSp>
                    <a:nvGrpSpPr>
                      <a:cNvPr id="101" name="组合 100"/>
                      <a:cNvGrpSpPr/>
                    </a:nvGrpSpPr>
                    <a:grpSpPr>
                      <a:xfrm>
                        <a:off x="251520" y="1628800"/>
                        <a:ext cx="4824536" cy="3600400"/>
                        <a:chOff x="3772828" y="961366"/>
                        <a:chExt cx="3983034" cy="3242014"/>
                      </a:xfrm>
                    </a:grpSpPr>
                    <a:grpSp>
                      <a:nvGrpSpPr>
                        <a:cNvPr id="3" name="组合 116"/>
                        <a:cNvGrpSpPr/>
                      </a:nvGrpSpPr>
                      <a:grpSpPr>
                        <a:xfrm rot="8425357">
                          <a:off x="4336458" y="1226557"/>
                          <a:ext cx="1141393" cy="1027534"/>
                          <a:chOff x="3790647" y="2113434"/>
                          <a:chExt cx="1141393" cy="1027534"/>
                        </a:xfrm>
                      </a:grpSpPr>
                      <a:sp>
                        <a:nvSpPr>
                          <a:cNvPr id="118" name="泪滴形 117"/>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泪滴形 118"/>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泪滴形 119"/>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泪滴形 120"/>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泪滴形 121"/>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泪滴形 122"/>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40"/>
                        <a:cNvGrpSpPr/>
                      </a:nvGrpSpPr>
                      <a:grpSpPr>
                        <a:xfrm rot="8047249">
                          <a:off x="5847547" y="1018296"/>
                          <a:ext cx="1141393" cy="1027534"/>
                          <a:chOff x="3790647" y="2113434"/>
                          <a:chExt cx="1141393" cy="1027534"/>
                        </a:xfrm>
                      </a:grpSpPr>
                      <a:sp>
                        <a:nvSpPr>
                          <a:cNvPr id="142" name="泪滴形 141"/>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泪滴形 142"/>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泪滴形 143"/>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泪滴形 144"/>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泪滴形 145"/>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泪滴形 146"/>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89"/>
                        <a:cNvGrpSpPr/>
                      </a:nvGrpSpPr>
                      <a:grpSpPr>
                        <a:xfrm rot="15727298">
                          <a:off x="5956598" y="3118917"/>
                          <a:ext cx="1141393" cy="1027534"/>
                          <a:chOff x="3790647" y="2113434"/>
                          <a:chExt cx="1141393" cy="1027534"/>
                        </a:xfrm>
                      </a:grpSpPr>
                      <a:sp>
                        <a:nvSpPr>
                          <a:cNvPr id="155" name="泪滴形 15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泪滴形 15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泪滴形 156"/>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泪滴形 15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泪滴形 15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泪滴形 15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31"/>
                        <a:cNvGrpSpPr/>
                      </a:nvGrpSpPr>
                      <a:grpSpPr>
                        <a:xfrm rot="462932">
                          <a:off x="4923842" y="3140927"/>
                          <a:ext cx="1141393" cy="1027534"/>
                          <a:chOff x="3790647" y="2113434"/>
                          <a:chExt cx="1141393" cy="1027534"/>
                        </a:xfrm>
                      </a:grpSpPr>
                      <a:sp>
                        <a:nvSpPr>
                          <a:cNvPr id="178" name="泪滴形 177"/>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泪滴形 178"/>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泪滴形 179"/>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泪滴形 180"/>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泪滴形 181"/>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泪滴形 182"/>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27"/>
                        <a:cNvGrpSpPr/>
                      </a:nvGrpSpPr>
                      <a:grpSpPr>
                        <a:xfrm>
                          <a:off x="3772828" y="1124744"/>
                          <a:ext cx="3983034" cy="2880320"/>
                          <a:chOff x="3772828" y="1124744"/>
                          <a:chExt cx="3983034" cy="2880320"/>
                        </a:xfrm>
                      </a:grpSpPr>
                      <a:grpSp>
                        <a:nvGrpSpPr>
                          <a:cNvPr id="8" name="组合 223"/>
                          <a:cNvGrpSpPr/>
                        </a:nvGrpSpPr>
                        <a:grpSpPr>
                          <a:xfrm>
                            <a:off x="3772828" y="1124744"/>
                            <a:ext cx="3844298" cy="2880320"/>
                            <a:chOff x="3772828" y="1124744"/>
                            <a:chExt cx="3844298" cy="2880320"/>
                          </a:xfrm>
                        </a:grpSpPr>
                        <a:sp>
                          <a:nvSpPr>
                            <a:cNvPr id="100" name="Oval 90"/>
                            <a:cNvSpPr>
                              <a:spLocks noChangeAspect="1" noChangeArrowheads="1"/>
                            </a:cNvSpPr>
                          </a:nvSpPr>
                          <a:spPr bwMode="auto">
                            <a:xfrm>
                              <a:off x="3851920" y="1412776"/>
                              <a:ext cx="2097012" cy="1810054"/>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40" name="Oval 90"/>
                            <a:cNvSpPr>
                              <a:spLocks noChangeAspect="1" noChangeArrowheads="1"/>
                            </a:cNvSpPr>
                          </a:nvSpPr>
                          <a:spPr bwMode="auto">
                            <a:xfrm>
                              <a:off x="4932040" y="2420888"/>
                              <a:ext cx="2160240" cy="1584176"/>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sp>
                          <a:nvSpPr>
                            <a:cNvPr id="139" name="Oval 90"/>
                            <a:cNvSpPr>
                              <a:spLocks noChangeAspect="1" noChangeArrowheads="1"/>
                            </a:cNvSpPr>
                          </a:nvSpPr>
                          <a:spPr bwMode="auto">
                            <a:xfrm>
                              <a:off x="5508104" y="1124744"/>
                              <a:ext cx="2016224" cy="1872208"/>
                            </a:xfrm>
                            <a:prstGeom prst="ellipse">
                              <a:avLst/>
                            </a:prstGeom>
                            <a:noFill/>
                            <a:ln w="12700" algn="ctr">
                              <a:solidFill>
                                <a:schemeClr val="accent1"/>
                              </a:solidFill>
                              <a:prstDash val="sysDash"/>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1400" dirty="0"/>
                              </a:p>
                            </a:txBody>
                            <a:useSpRect/>
                          </a:txSp>
                        </a:sp>
                        <a:grpSp>
                          <a:nvGrpSpPr>
                            <a:cNvPr id="15" name="组合 87"/>
                            <a:cNvGrpSpPr/>
                          </a:nvGrpSpPr>
                          <a:grpSpPr>
                            <a:xfrm rot="471807">
                              <a:off x="3772828" y="2062088"/>
                              <a:ext cx="1141393" cy="1027534"/>
                              <a:chOff x="3790647" y="2113434"/>
                              <a:chExt cx="1141393" cy="1027534"/>
                            </a:xfrm>
                          </a:grpSpPr>
                          <a:sp>
                            <a:nvSpPr>
                              <a:cNvPr id="74" name="泪滴形 73"/>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泪滴形 8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泪滴形 8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泪滴形 8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89"/>
                            <a:cNvGrpSpPr/>
                          </a:nvGrpSpPr>
                          <a:grpSpPr>
                            <a:xfrm rot="15727298">
                              <a:off x="4876479" y="2110805"/>
                              <a:ext cx="1141393" cy="1027534"/>
                              <a:chOff x="3790647" y="2113434"/>
                              <a:chExt cx="1141393" cy="1027534"/>
                            </a:xfrm>
                          </a:grpSpPr>
                          <a:sp>
                            <a:nvSpPr>
                              <a:cNvPr id="93" name="泪滴形 9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泪滴形 9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泪滴形 95"/>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泪滴形 10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泪滴形 103"/>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泪滴形 115"/>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23"/>
                            <a:cNvGrpSpPr/>
                          </a:nvGrpSpPr>
                          <a:grpSpPr>
                            <a:xfrm rot="8425357">
                              <a:off x="5488587" y="2378684"/>
                              <a:ext cx="1141393" cy="1027534"/>
                              <a:chOff x="3790647" y="2113434"/>
                              <a:chExt cx="1141393" cy="1027534"/>
                            </a:xfrm>
                          </a:grpSpPr>
                          <a:sp>
                            <a:nvSpPr>
                              <a:cNvPr id="125" name="泪滴形 124"/>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泪滴形 125"/>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泪滴形 126"/>
                              <a:cNvSpPr/>
                            </a:nvSpPr>
                            <a:spPr>
                              <a:xfrm rot="1102659" flipH="1">
                                <a:off x="4542102"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泪滴形 127"/>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泪滴形 128"/>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泪滴形 129"/>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107" name="Picture 4"/>
                            <a:cNvPicPr>
                              <a:picLocks noChangeAspect="1" noChangeArrowheads="1"/>
                            </a:cNvPicPr>
                          </a:nvPicPr>
                          <a:blipFill>
                            <a:blip r:embed="rId10" cstate="print"/>
                            <a:srcRect/>
                            <a:stretch>
                              <a:fillRect/>
                            </a:stretch>
                          </a:blipFill>
                          <a:spPr bwMode="auto">
                            <a:xfrm>
                              <a:off x="4860032" y="2132856"/>
                              <a:ext cx="153676" cy="300583"/>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5940152" y="3212976"/>
                              <a:ext cx="153676" cy="300583"/>
                            </a:xfrm>
                            <a:prstGeom prst="rect">
                              <a:avLst/>
                            </a:prstGeom>
                            <a:noFill/>
                            <a:ln w="9525">
                              <a:noFill/>
                              <a:miter lim="800000"/>
                              <a:headEnd/>
                              <a:tailEnd/>
                            </a:ln>
                          </a:spPr>
                        </a:pic>
                        <a:grpSp>
                          <a:nvGrpSpPr>
                            <a:cNvPr id="20" name="组合 131"/>
                            <a:cNvGrpSpPr/>
                          </a:nvGrpSpPr>
                          <a:grpSpPr>
                            <a:xfrm rot="462932">
                              <a:off x="5427896" y="1916791"/>
                              <a:ext cx="1141393" cy="1027534"/>
                              <a:chOff x="3790647" y="2113434"/>
                              <a:chExt cx="1141393" cy="1027534"/>
                            </a:xfrm>
                          </a:grpSpPr>
                          <a:sp>
                            <a:nvSpPr>
                              <a:cNvPr id="133" name="泪滴形 132"/>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泪滴形 133"/>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泪滴形 134"/>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泪滴形 135"/>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泪滴形 136"/>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泪滴形 137"/>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5508104" y="2420888"/>
                              <a:ext cx="256125" cy="186914"/>
                            </a:xfrm>
                            <a:prstGeom prst="rect">
                              <a:avLst/>
                            </a:prstGeom>
                            <a:noFill/>
                          </a:spPr>
                        </a:pic>
                        <a:pic>
                          <a:nvPicPr>
                            <a:cNvPr id="114" name="Picture 4"/>
                            <a:cNvPicPr>
                              <a:picLocks noChangeAspect="1" noChangeArrowheads="1"/>
                            </a:cNvPicPr>
                          </a:nvPicPr>
                          <a:blipFill>
                            <a:blip r:embed="rId10" cstate="print"/>
                            <a:srcRect/>
                            <a:stretch>
                              <a:fillRect/>
                            </a:stretch>
                          </a:blipFill>
                          <a:spPr bwMode="auto">
                            <a:xfrm flipH="1">
                              <a:off x="6444208" y="1916832"/>
                              <a:ext cx="134356" cy="300583"/>
                            </a:xfrm>
                            <a:prstGeom prst="rect">
                              <a:avLst/>
                            </a:prstGeom>
                            <a:noFill/>
                            <a:ln w="9525">
                              <a:noFill/>
                              <a:miter lim="800000"/>
                              <a:headEnd/>
                              <a:tailEnd/>
                            </a:ln>
                          </a:spPr>
                        </a:pic>
                        <a:grpSp>
                          <a:nvGrpSpPr>
                            <a:cNvPr id="23" name="组合 147"/>
                            <a:cNvGrpSpPr/>
                          </a:nvGrpSpPr>
                          <a:grpSpPr>
                            <a:xfrm rot="14938459">
                              <a:off x="6532662" y="1750765"/>
                              <a:ext cx="1141393" cy="1027534"/>
                              <a:chOff x="3790647" y="2113434"/>
                              <a:chExt cx="1141393" cy="1027534"/>
                            </a:xfrm>
                          </a:grpSpPr>
                          <a:sp>
                            <a:nvSpPr>
                              <a:cNvPr id="149" name="泪滴形 148"/>
                              <a:cNvSpPr/>
                            </a:nvSpPr>
                            <a:spPr>
                              <a:xfrm rot="3774191" flipH="1">
                                <a:off x="4114239" y="1977679"/>
                                <a:ext cx="219334" cy="832536"/>
                              </a:xfrm>
                              <a:prstGeom prst="teardrop">
                                <a:avLst>
                                  <a:gd name="adj" fmla="val 55703"/>
                                </a:avLst>
                              </a:prstGeom>
                              <a:solidFill>
                                <a:schemeClr val="accent6">
                                  <a:lumMod val="75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B5</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泪滴形 149"/>
                              <a:cNvSpPr/>
                            </a:nvSpPr>
                            <a:spPr>
                              <a:xfrm rot="2068300" flipH="1">
                                <a:off x="4348583" y="2210144"/>
                                <a:ext cx="273716" cy="82213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B3</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泪滴形 150"/>
                              <a:cNvSpPr/>
                            </a:nvSpPr>
                            <a:spPr>
                              <a:xfrm rot="1102659" flipH="1">
                                <a:off x="4542101" y="2292829"/>
                                <a:ext cx="224189" cy="76017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B2</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泪滴形 151"/>
                              <a:cNvSpPr/>
                            </a:nvSpPr>
                            <a:spPr>
                              <a:xfrm rot="2783480" flipH="1">
                                <a:off x="4281575" y="2065277"/>
                                <a:ext cx="185479" cy="86846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B4</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泪滴形 152"/>
                              <a:cNvSpPr/>
                            </a:nvSpPr>
                            <a:spPr>
                              <a:xfrm flipH="1">
                                <a:off x="4724354" y="2424355"/>
                                <a:ext cx="207686" cy="716613"/>
                              </a:xfrm>
                              <a:prstGeom prst="teardrop">
                                <a:avLst>
                                  <a:gd name="adj" fmla="val 55703"/>
                                </a:avLst>
                              </a:prstGeom>
                              <a:solidFill>
                                <a:srgbClr val="FFFF00">
                                  <a:alpha val="55000"/>
                                </a:srgb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B1</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泪滴形 153"/>
                              <a:cNvSpPr/>
                            </a:nvSpPr>
                            <a:spPr>
                              <a:xfrm rot="21133633" flipH="1">
                                <a:off x="3790647" y="2113434"/>
                                <a:ext cx="792088" cy="212557"/>
                              </a:xfrm>
                              <a:prstGeom prst="teardrop">
                                <a:avLst>
                                  <a:gd name="adj" fmla="val 55703"/>
                                </a:avLst>
                              </a:prstGeom>
                              <a:solidFill>
                                <a:schemeClr val="tx2">
                                  <a:lumMod val="40000"/>
                                  <a:lumOff val="60000"/>
                                  <a:alpha val="55000"/>
                                </a:schemeClr>
                              </a:solidFill>
                              <a:ln>
                                <a:noFill/>
                              </a:ln>
                              <a:scene3d>
                                <a:camera prst="orthographicFront">
                                  <a:rot lat="0" lon="21599947" rev="0"/>
                                </a:camera>
                                <a:lightRig rig="threePt" dir="t"/>
                              </a:scene3d>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B6</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94" name="直接连接符 193"/>
                            <a:cNvCxnSpPr/>
                          </a:nvCxnSpPr>
                          <a:spPr>
                            <a:xfrm>
                              <a:off x="6516216" y="2132856"/>
                              <a:ext cx="288032" cy="792088"/>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8" name="直接连接符 197"/>
                            <a:cNvCxnSpPr>
                              <a:endCxn id="100" idx="4"/>
                            </a:cNvCxnSpPr>
                          </a:nvCxnSpPr>
                          <a:spPr>
                            <a:xfrm flipH="1">
                              <a:off x="4900426" y="2420888"/>
                              <a:ext cx="31614" cy="801942"/>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0" name="直接连接符 199"/>
                            <a:cNvCxnSpPr/>
                          </a:nvCxnSpPr>
                          <a:spPr>
                            <a:xfrm flipV="1">
                              <a:off x="6516216" y="1484784"/>
                              <a:ext cx="792088" cy="57606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3" name="直接连接符 202"/>
                            <a:cNvCxnSpPr>
                              <a:endCxn id="114" idx="3"/>
                            </a:cNvCxnSpPr>
                          </a:nvCxnSpPr>
                          <a:spPr>
                            <a:xfrm>
                              <a:off x="5652120" y="1700808"/>
                              <a:ext cx="792088" cy="36631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8" name="直接连接符 207"/>
                            <a:cNvCxnSpPr>
                              <a:endCxn id="107" idx="1"/>
                            </a:cNvCxnSpPr>
                          </a:nvCxnSpPr>
                          <a:spPr>
                            <a:xfrm>
                              <a:off x="3995936" y="1844824"/>
                              <a:ext cx="864096" cy="438324"/>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2" name="直接连接符 211"/>
                            <a:cNvCxnSpPr/>
                          </a:nvCxnSpPr>
                          <a:spPr>
                            <a:xfrm flipH="1">
                              <a:off x="4932040" y="1772816"/>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8" name="直接连接符 217"/>
                            <a:cNvCxnSpPr/>
                          </a:nvCxnSpPr>
                          <a:spPr>
                            <a:xfrm flipH="1">
                              <a:off x="6084168" y="2924944"/>
                              <a:ext cx="792088" cy="504056"/>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1" name="直接连接符 220"/>
                            <a:cNvCxnSpPr>
                              <a:stCxn id="116" idx="2"/>
                              <a:endCxn id="99" idx="1"/>
                            </a:cNvCxnSpPr>
                          </a:nvCxnSpPr>
                          <a:spPr>
                            <a:xfrm>
                              <a:off x="5169811" y="2824759"/>
                              <a:ext cx="770341" cy="538509"/>
                            </a:xfrm>
                            <a:prstGeom prst="line">
                              <a:avLst/>
                            </a:prstGeom>
                            <a:ln w="15875">
                              <a:solidFill>
                                <a:schemeClr val="tx1"/>
                              </a:solidFill>
                            </a:ln>
                          </a:spPr>
                          <a:style>
                            <a:lnRef idx="1">
                              <a:schemeClr val="accent1"/>
                            </a:lnRef>
                            <a:fillRef idx="0">
                              <a:schemeClr val="accent1"/>
                            </a:fillRef>
                            <a:effectRef idx="0">
                              <a:schemeClr val="accent1"/>
                            </a:effectRef>
                            <a:fontRef idx="minor">
                              <a:schemeClr val="tx1"/>
                            </a:fontRef>
                          </a:style>
                        </a:cxnSp>
                      </a:grpSp>
                      <a:sp>
                        <a:nvSpPr>
                          <a:cNvPr id="225" name="TextBox 224"/>
                          <a:cNvSpPr txBox="1"/>
                        </a:nvSpPr>
                        <a:spPr>
                          <a:xfrm>
                            <a:off x="4067944" y="148478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TRP1</a:t>
                              </a:r>
                              <a:endParaRPr lang="en-US" sz="800" dirty="0"/>
                            </a:p>
                          </a:txBody>
                          <a:useSpRect/>
                        </a:txSp>
                      </a:sp>
                      <a:sp>
                        <a:nvSpPr>
                          <a:cNvPr id="226" name="TextBox 225"/>
                          <a:cNvSpPr txBox="1"/>
                        </a:nvSpPr>
                        <a:spPr>
                          <a:xfrm>
                            <a:off x="6444208" y="3645024"/>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TRP2</a:t>
                              </a:r>
                              <a:endParaRPr lang="en-US" sz="800" dirty="0"/>
                            </a:p>
                          </a:txBody>
                          <a:useSpRect/>
                        </a:txSp>
                      </a:sp>
                      <a:sp>
                        <a:nvSpPr>
                          <a:cNvPr id="227" name="TextBox 226"/>
                          <a:cNvSpPr txBox="1"/>
                        </a:nvSpPr>
                        <a:spPr>
                          <a:xfrm>
                            <a:off x="7308304" y="1772816"/>
                            <a:ext cx="447558" cy="21544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TRP3</a:t>
                              </a:r>
                              <a:endParaRPr lang="en-US" sz="800" dirty="0"/>
                            </a:p>
                          </a:txBody>
                          <a:useSpRect/>
                        </a:txSp>
                      </a:sp>
                    </a:grpSp>
                  </a:grpSp>
                </lc:lockedCanvas>
              </a:graphicData>
            </a:graphic>
          </wp:inline>
        </w:drawing>
      </w:r>
    </w:p>
    <w:p w:rsidR="00B563ED" w:rsidRPr="00CF6971" w:rsidRDefault="00B563ED" w:rsidP="00B563ED">
      <w:pPr>
        <w:pStyle w:val="Caption"/>
        <w:rPr>
          <w:bCs w:val="0"/>
        </w:rPr>
      </w:pPr>
      <w:r>
        <w:t xml:space="preserve">Figure </w:t>
      </w:r>
      <w:r w:rsidR="00B2387D">
        <w:t>2</w:t>
      </w:r>
      <w:r>
        <w:t>:  Illustration of SS block time index ambiguity with multi-TRP and multi-beam configuration</w:t>
      </w:r>
    </w:p>
    <w:p w:rsidR="00CD5E6C" w:rsidRDefault="00CD5E6C" w:rsidP="00B563ED">
      <w:pPr>
        <w:rPr>
          <w:rFonts w:cs="Arial"/>
          <w:lang w:val="en-US"/>
        </w:rPr>
      </w:pPr>
    </w:p>
    <w:p w:rsidR="00B563ED" w:rsidRDefault="00AB71E1" w:rsidP="00B563ED">
      <w:pPr>
        <w:rPr>
          <w:rFonts w:cs="Arial"/>
          <w:lang w:val="en-US"/>
        </w:rPr>
      </w:pPr>
      <w:r>
        <w:t>The SS block time index ambiguity may be solved with different ways. Two options are listed in the following:</w:t>
      </w:r>
      <w:r w:rsidR="00B563ED">
        <w:rPr>
          <w:rFonts w:cs="Arial"/>
          <w:lang w:val="en-US"/>
        </w:rPr>
        <w:t xml:space="preserve"> </w:t>
      </w:r>
    </w:p>
    <w:p w:rsidR="00B563ED" w:rsidRDefault="00B563ED" w:rsidP="00A75C10">
      <w:pPr>
        <w:ind w:left="284"/>
        <w:rPr>
          <w:rFonts w:cs="Arial"/>
          <w:lang w:val="en-US"/>
        </w:rPr>
      </w:pPr>
      <w:r>
        <w:rPr>
          <w:rFonts w:cs="Arial"/>
          <w:lang w:val="en-US"/>
        </w:rPr>
        <w:t xml:space="preserve">Option 1: </w:t>
      </w:r>
      <w:r w:rsidR="00AB71E1">
        <w:rPr>
          <w:rFonts w:cs="Arial"/>
          <w:lang w:val="en-US"/>
        </w:rPr>
        <w:t xml:space="preserve">For a cell with multiple TRPs, each TRP will transmit </w:t>
      </w:r>
      <w:r>
        <w:rPr>
          <w:rFonts w:cs="Arial"/>
          <w:lang w:val="en-US"/>
        </w:rPr>
        <w:t>TRP-specific RMSI</w:t>
      </w:r>
      <w:r w:rsidR="00025C40">
        <w:rPr>
          <w:rFonts w:cs="Arial"/>
          <w:lang w:val="en-US"/>
        </w:rPr>
        <w:t xml:space="preserve">, which </w:t>
      </w:r>
      <w:r>
        <w:rPr>
          <w:rFonts w:cs="Arial"/>
          <w:lang w:val="en-US"/>
        </w:rPr>
        <w:t>contains TRP-specific RACH configuration for the association of the SS block and the TRP-specific PRACH resource. When a UE detects an SS block, the UE obtain</w:t>
      </w:r>
      <w:r w:rsidR="00AB71E1">
        <w:rPr>
          <w:rFonts w:cs="Arial"/>
          <w:lang w:val="en-US"/>
        </w:rPr>
        <w:t xml:space="preserve">s </w:t>
      </w:r>
      <w:r>
        <w:rPr>
          <w:rFonts w:cs="Arial"/>
          <w:lang w:val="en-US"/>
        </w:rPr>
        <w:t xml:space="preserve">corresponding </w:t>
      </w:r>
      <w:r w:rsidR="00AB71E1">
        <w:rPr>
          <w:rFonts w:cs="Arial"/>
          <w:lang w:val="en-US"/>
        </w:rPr>
        <w:t xml:space="preserve">TRP-specific RACH configuration, and use the TRP-specific RACH configuration to select the RACH resource. </w:t>
      </w:r>
      <w:r>
        <w:rPr>
          <w:rFonts w:cs="Arial"/>
          <w:lang w:val="en-US"/>
        </w:rPr>
        <w:t xml:space="preserve">In this way, when the gNB receives the PRACH preamble from the UE, the network will know the corresponding SS block and </w:t>
      </w:r>
      <w:r w:rsidR="00AB71E1">
        <w:rPr>
          <w:rFonts w:cs="Arial"/>
          <w:lang w:val="en-US"/>
        </w:rPr>
        <w:t xml:space="preserve">the </w:t>
      </w:r>
      <w:r>
        <w:rPr>
          <w:rFonts w:cs="Arial"/>
          <w:lang w:val="en-US"/>
        </w:rPr>
        <w:t xml:space="preserve">TRP </w:t>
      </w:r>
      <w:r w:rsidR="00AB71E1">
        <w:rPr>
          <w:rFonts w:cs="Arial"/>
          <w:lang w:val="en-US"/>
        </w:rPr>
        <w:t>detected</w:t>
      </w:r>
      <w:r>
        <w:rPr>
          <w:rFonts w:cs="Arial"/>
          <w:lang w:val="en-US"/>
        </w:rPr>
        <w:t xml:space="preserve"> by the UE</w:t>
      </w:r>
      <w:r w:rsidR="00A75C10">
        <w:rPr>
          <w:rFonts w:cs="Arial"/>
          <w:lang w:val="en-US"/>
        </w:rPr>
        <w:t>.</w:t>
      </w:r>
    </w:p>
    <w:p w:rsidR="00B563ED" w:rsidRDefault="00B563ED" w:rsidP="00A75C10">
      <w:pPr>
        <w:ind w:left="284"/>
      </w:pPr>
      <w:r>
        <w:rPr>
          <w:rFonts w:cs="Arial"/>
          <w:lang w:val="en-US"/>
        </w:rPr>
        <w:t xml:space="preserve">Option 2: </w:t>
      </w:r>
      <w:r w:rsidR="00120E9B">
        <w:rPr>
          <w:rFonts w:cs="Arial"/>
          <w:lang w:val="en-US"/>
        </w:rPr>
        <w:t>Include</w:t>
      </w:r>
      <w:r w:rsidR="00EE1972">
        <w:rPr>
          <w:rFonts w:cs="Arial"/>
          <w:lang w:val="en-US"/>
        </w:rPr>
        <w:t xml:space="preserve"> </w:t>
      </w:r>
      <w:r w:rsidR="00120E9B">
        <w:rPr>
          <w:rFonts w:cs="Arial"/>
          <w:lang w:val="en-US"/>
        </w:rPr>
        <w:t xml:space="preserve">third </w:t>
      </w:r>
      <w:r w:rsidR="00FF3CBA">
        <w:t>synchronization or reference signal (TSS)</w:t>
      </w:r>
      <w:r>
        <w:t xml:space="preserve"> for identification of each TRP in addition to the time index of SS-block.  </w:t>
      </w:r>
    </w:p>
    <w:p w:rsidR="006B445A" w:rsidRDefault="00FF3CBA" w:rsidP="006B445A">
      <w:r>
        <w:t xml:space="preserve">With Option 2, the TSS can be used not only to separate the SS blocks from different TRPs, but also be used as the reference signal for channel tracking of a specific TRP. </w:t>
      </w:r>
    </w:p>
    <w:p w:rsidR="00A437B3" w:rsidRPr="00A437B3" w:rsidRDefault="00B563ED" w:rsidP="006B445A">
      <w:pPr>
        <w:rPr>
          <w:rFonts w:cs="Arial"/>
          <w:b/>
          <w:i/>
          <w:lang w:val="en-US"/>
        </w:rPr>
      </w:pPr>
      <w:r w:rsidRPr="00A437B3">
        <w:rPr>
          <w:b/>
          <w:bCs/>
          <w:i/>
        </w:rPr>
        <w:t xml:space="preserve">Proposal </w:t>
      </w:r>
      <w:r w:rsidR="004154C2" w:rsidRPr="00A437B3">
        <w:rPr>
          <w:b/>
          <w:bCs/>
          <w:i/>
        </w:rPr>
        <w:t>1</w:t>
      </w:r>
      <w:r w:rsidRPr="00A437B3">
        <w:rPr>
          <w:b/>
          <w:bCs/>
          <w:i/>
        </w:rPr>
        <w:t xml:space="preserve">:  </w:t>
      </w:r>
      <w:r w:rsidR="00A437B3" w:rsidRPr="00A437B3">
        <w:rPr>
          <w:b/>
          <w:bCs/>
          <w:i/>
        </w:rPr>
        <w:t xml:space="preserve">TSS should be introduced to solve the </w:t>
      </w:r>
      <w:r w:rsidR="008A193B" w:rsidRPr="00A437B3">
        <w:rPr>
          <w:rFonts w:cs="Arial"/>
          <w:b/>
          <w:i/>
          <w:lang w:val="en-US"/>
        </w:rPr>
        <w:t xml:space="preserve">SS block time index ambiguity </w:t>
      </w:r>
      <w:r w:rsidR="00A437B3" w:rsidRPr="00A437B3">
        <w:rPr>
          <w:b/>
          <w:i/>
          <w:lang w:val="en-US"/>
        </w:rPr>
        <w:t>for</w:t>
      </w:r>
      <w:r w:rsidR="00A437B3" w:rsidRPr="00A437B3">
        <w:rPr>
          <w:rFonts w:cs="Arial"/>
          <w:b/>
          <w:i/>
          <w:lang w:val="en-US"/>
        </w:rPr>
        <w:t xml:space="preserve"> a cell with multiple TRPs.</w:t>
      </w:r>
    </w:p>
    <w:p w:rsidR="008B65A9" w:rsidRDefault="00B818ED" w:rsidP="007E7857">
      <w:pPr>
        <w:pStyle w:val="maintext"/>
        <w:spacing w:before="0" w:after="0" w:line="240" w:lineRule="auto"/>
        <w:ind w:firstLineChars="0" w:firstLine="0"/>
      </w:pPr>
      <w:r>
        <w:t xml:space="preserve">For CONNECTED mode UEs, the RRM measurements for L3 mobility </w:t>
      </w:r>
      <w:r w:rsidR="008B65A9">
        <w:t xml:space="preserve">would be determined by the UE connectivity. In particular, the configuration of NR access nodes and cells could be multi-dimension as shown in </w:t>
      </w:r>
      <w:r w:rsidR="00254BF7">
        <w:t xml:space="preserve">Figure  </w:t>
      </w:r>
      <w:r w:rsidR="007A420D">
        <w:t>3</w:t>
      </w:r>
      <w:r w:rsidR="008B65A9">
        <w:t>.   A NR cell is configured with multiple TRPs and each TRP could be configured with multiple beams.   The RRM measurements for CONNECTED mode UEs would be subjected to the UE connection to a TRP</w:t>
      </w:r>
      <w:r w:rsidR="00A22700">
        <w:t xml:space="preserve"> within a cell or a beam in the multi-beam configuration within a TRP as shown in </w:t>
      </w:r>
      <w:r w:rsidR="00C15E5B">
        <w:t xml:space="preserve">Figure </w:t>
      </w:r>
      <w:r w:rsidR="00C15E5B">
        <w:rPr>
          <w:noProof/>
        </w:rPr>
        <w:t>1</w:t>
      </w:r>
      <w:r w:rsidR="00A22700">
        <w:t xml:space="preserve">.  </w:t>
      </w:r>
      <w:r w:rsidR="00C15E5B">
        <w:t xml:space="preserve"> In order to have the connectivity to a TRP in a cell or a beam of the multi-b</w:t>
      </w:r>
      <w:r w:rsidR="004206E9">
        <w:t>eam configuration in a TRP, TSS as beam specific RS</w:t>
      </w:r>
      <w:r w:rsidR="00C15E5B">
        <w:t xml:space="preserve"> is needed for initial acquisition and the channel estimation and c</w:t>
      </w:r>
      <w:r w:rsidR="004206E9">
        <w:t>hannel state measurement.   TSS</w:t>
      </w:r>
      <w:r w:rsidR="00C15E5B">
        <w:t xml:space="preserve"> should be used for the RRM measurements of L3 mobility.   </w:t>
      </w:r>
    </w:p>
    <w:p w:rsidR="008B65A9" w:rsidRDefault="008B65A9" w:rsidP="007E7857">
      <w:pPr>
        <w:pStyle w:val="maintext"/>
        <w:spacing w:before="0" w:after="0" w:line="240" w:lineRule="auto"/>
        <w:ind w:firstLineChars="0" w:firstLine="0"/>
      </w:pPr>
    </w:p>
    <w:p w:rsidR="008B65A9" w:rsidRDefault="008B65A9" w:rsidP="007E7857">
      <w:pPr>
        <w:pStyle w:val="maintext"/>
        <w:spacing w:before="0" w:after="0" w:line="240" w:lineRule="auto"/>
        <w:ind w:firstLineChars="0" w:firstLine="0"/>
      </w:pPr>
    </w:p>
    <w:p w:rsidR="008B65A9" w:rsidRDefault="008B65A9" w:rsidP="008B65A9">
      <w:pPr>
        <w:pStyle w:val="maintext"/>
        <w:spacing w:before="0" w:after="0" w:line="240" w:lineRule="auto"/>
        <w:ind w:firstLineChars="0" w:firstLine="0"/>
        <w:jc w:val="center"/>
      </w:pPr>
      <w:r w:rsidRPr="008B65A9">
        <w:rPr>
          <w:noProof/>
          <w:lang w:val="en-US" w:eastAsia="zh-CN"/>
        </w:rPr>
        <w:lastRenderedPageBreak/>
        <w:drawing>
          <wp:inline distT="0" distB="0" distL="0" distR="0">
            <wp:extent cx="4783541" cy="145756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784208" cy="1457770"/>
                    </a:xfrm>
                    <a:prstGeom prst="rect">
                      <a:avLst/>
                    </a:prstGeom>
                    <a:noFill/>
                    <a:ln w="9525">
                      <a:noFill/>
                      <a:miter lim="800000"/>
                      <a:headEnd/>
                      <a:tailEnd/>
                    </a:ln>
                  </pic:spPr>
                </pic:pic>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Caption"/>
        <w:rPr>
          <w:bCs w:val="0"/>
        </w:rPr>
      </w:pPr>
      <w:bookmarkStart w:id="1" w:name="_Ref465974780"/>
      <w:r>
        <w:t xml:space="preserve">Figure </w:t>
      </w:r>
      <w:bookmarkEnd w:id="1"/>
      <w:r w:rsidR="007A420D">
        <w:t>3</w:t>
      </w:r>
      <w:r>
        <w:t xml:space="preserve">:  </w:t>
      </w:r>
      <w:r w:rsidR="00260790">
        <w:t xml:space="preserve">Illustration of UE multi-connectivities in a </w:t>
      </w:r>
      <w:r>
        <w:t>NR cell with multi-TRP and multi-beam configuration</w:t>
      </w:r>
    </w:p>
    <w:p w:rsidR="008B65A9" w:rsidRDefault="008B65A9" w:rsidP="007E7857">
      <w:pPr>
        <w:pStyle w:val="maintext"/>
        <w:spacing w:before="0" w:after="0" w:line="240" w:lineRule="auto"/>
        <w:ind w:firstLineChars="0" w:firstLine="0"/>
      </w:pPr>
    </w:p>
    <w:p w:rsidR="00E75049" w:rsidRDefault="001C3352" w:rsidP="00E75049">
      <w:pPr>
        <w:pStyle w:val="maintext"/>
        <w:spacing w:before="0" w:after="0" w:line="240" w:lineRule="auto"/>
        <w:ind w:firstLineChars="0" w:firstLine="0"/>
        <w:rPr>
          <w:bCs/>
        </w:rPr>
      </w:pPr>
      <w:r>
        <w:t>I</w:t>
      </w:r>
      <w:r w:rsidR="00E3086F">
        <w:t xml:space="preserve">t was agreed that </w:t>
      </w:r>
      <w:r>
        <w:t xml:space="preserve">the </w:t>
      </w:r>
      <w:r w:rsidR="00E3086F">
        <w:t>remaining minimum system information (SIBs)</w:t>
      </w:r>
      <w:r w:rsidR="00C15E5B">
        <w:t xml:space="preserve"> not carried by </w:t>
      </w:r>
      <w:r w:rsidR="00191019">
        <w:t>NR-PBCH</w:t>
      </w:r>
      <w:r w:rsidR="00E3086F">
        <w:t xml:space="preserve">, </w:t>
      </w:r>
      <w:r w:rsidR="007A420D">
        <w:t xml:space="preserve">but </w:t>
      </w:r>
      <w:r w:rsidR="004206E9">
        <w:t>by NR-PDSCH</w:t>
      </w:r>
      <w:r w:rsidR="00876556">
        <w:t xml:space="preserve">.  The resource </w:t>
      </w:r>
      <w:r w:rsidR="004206E9">
        <w:t>allocation of the NR-PDSCH</w:t>
      </w:r>
      <w:r w:rsidR="00876556">
        <w:t xml:space="preserve"> is s</w:t>
      </w:r>
      <w:r w:rsidR="004206E9">
        <w:t xml:space="preserve">cheduled by DCI of NR-PDCCH, which the resource is allocated by </w:t>
      </w:r>
      <w:r w:rsidR="00E3086F">
        <w:t>NR-PBCH</w:t>
      </w:r>
      <w:r w:rsidR="00876556">
        <w:t xml:space="preserve">.  </w:t>
      </w:r>
      <w:r w:rsidR="00506F07">
        <w:t>TSS</w:t>
      </w:r>
      <w:r w:rsidR="004206E9">
        <w:t xml:space="preserve"> is used for identification of each beam in addition to the time index of SS-block</w:t>
      </w:r>
      <w:r w:rsidR="001C592C">
        <w:t xml:space="preserve">.  </w:t>
      </w:r>
      <w:r w:rsidR="00C47640">
        <w:t>T</w:t>
      </w:r>
      <w:r w:rsidR="00506F07">
        <w:t>SS would also be used as the reference signal for chann</w:t>
      </w:r>
      <w:r w:rsidR="00C47640">
        <w:t xml:space="preserve">el tracking of a specific </w:t>
      </w:r>
      <w:r w:rsidR="00506F07">
        <w:t xml:space="preserve">beam.   </w:t>
      </w:r>
      <w:r w:rsidR="00191019">
        <w:t xml:space="preserve">For UE mobility in the CONNECTED state within a cell, the RRM measurements are the short-term channel quality measurements to allow the gNB to </w:t>
      </w:r>
      <w:r w:rsidR="00C47640">
        <w:t xml:space="preserve">dynamically select the best </w:t>
      </w:r>
      <w:r w:rsidR="00191019">
        <w:t>bea</w:t>
      </w:r>
      <w:r w:rsidR="00C47640">
        <w:t xml:space="preserve">m for spatial diversity gain.   Beam-specific </w:t>
      </w:r>
      <w:r w:rsidR="00EB13D6">
        <w:t>DM RS of the DL control channel and DL shared channel carrying system information c</w:t>
      </w:r>
      <w:r w:rsidR="00763D11">
        <w:t xml:space="preserve">ould be used along </w:t>
      </w:r>
      <w:r w:rsidR="00C47640">
        <w:t xml:space="preserve">with TSS </w:t>
      </w:r>
      <w:r w:rsidR="00763D11">
        <w:t xml:space="preserve">for </w:t>
      </w:r>
      <w:r w:rsidR="00191019">
        <w:t xml:space="preserve">the short-term channel quality </w:t>
      </w:r>
      <w:r w:rsidR="00763D11">
        <w:t>RRM measurements</w:t>
      </w:r>
      <w:r w:rsidR="00191019">
        <w:t xml:space="preserve"> for intra-cell mobility</w:t>
      </w:r>
      <w:r w:rsidR="00763D11">
        <w:t xml:space="preserve">.   </w:t>
      </w:r>
      <w:r w:rsidR="00E75049">
        <w:rPr>
          <w:bCs/>
        </w:rPr>
        <w:t xml:space="preserve">CSI-RS can be used </w:t>
      </w:r>
      <w:r w:rsidR="00E75049" w:rsidRPr="00152590">
        <w:rPr>
          <w:bCs/>
        </w:rPr>
        <w:t xml:space="preserve">in addition to IDLE mode RS </w:t>
      </w:r>
      <w:r w:rsidR="00E75049">
        <w:rPr>
          <w:bCs/>
        </w:rPr>
        <w:t>f</w:t>
      </w:r>
      <w:r w:rsidR="00E75049" w:rsidRPr="00152590">
        <w:rPr>
          <w:bCs/>
        </w:rPr>
        <w:t>or CONNECTED mode RRM measurement for L3 mobility</w:t>
      </w:r>
      <w:r w:rsidR="00E75049">
        <w:rPr>
          <w:bCs/>
        </w:rPr>
        <w:t xml:space="preserve">.  Each CSI-RS resource is associated with a TRP or a beam within a cell.   CSI-RS is also considered as the RS for beam management.   CSI-RS is a beam specific RS for UE to identify.   The characteristic of CSI-RS for beam managements and RRM measurements for L3 mobility is similar to that of TSS.    Thus, CSI-RS could be considered as TSS as the candidate for beam-specific RRM measurement.   </w:t>
      </w:r>
    </w:p>
    <w:p w:rsidR="00E75049" w:rsidRDefault="00E75049" w:rsidP="00E75049">
      <w:pPr>
        <w:pStyle w:val="maintext"/>
        <w:spacing w:before="0" w:after="0" w:line="240" w:lineRule="auto"/>
        <w:ind w:firstLineChars="0" w:firstLine="0"/>
        <w:rPr>
          <w:bCs/>
        </w:rPr>
      </w:pPr>
    </w:p>
    <w:p w:rsidR="00E75049" w:rsidRPr="0008692E" w:rsidRDefault="00E75049" w:rsidP="00E75049">
      <w:pPr>
        <w:rPr>
          <w:b/>
          <w:bCs/>
        </w:rPr>
      </w:pPr>
      <w:r>
        <w:rPr>
          <w:b/>
          <w:bCs/>
        </w:rPr>
        <w:t xml:space="preserve">Proposal </w:t>
      </w:r>
      <w:r w:rsidR="004154C2">
        <w:rPr>
          <w:b/>
          <w:bCs/>
        </w:rPr>
        <w:t>2</w:t>
      </w:r>
      <w:r>
        <w:rPr>
          <w:b/>
          <w:bCs/>
        </w:rPr>
        <w:t xml:space="preserve">: </w:t>
      </w:r>
      <w:r w:rsidRPr="00E75049">
        <w:rPr>
          <w:b/>
          <w:bCs/>
        </w:rPr>
        <w:t xml:space="preserve">CSI-RS could be considered as TSS as the candidate </w:t>
      </w:r>
      <w:r w:rsidR="007A420D">
        <w:rPr>
          <w:b/>
          <w:bCs/>
        </w:rPr>
        <w:t xml:space="preserve">solution </w:t>
      </w:r>
      <w:r w:rsidRPr="00E75049">
        <w:rPr>
          <w:b/>
          <w:bCs/>
        </w:rPr>
        <w:t xml:space="preserve">for </w:t>
      </w:r>
      <w:r w:rsidR="007A420D" w:rsidRPr="007A420D">
        <w:rPr>
          <w:rFonts w:cs="Arial"/>
          <w:b/>
          <w:lang w:val="en-US"/>
        </w:rPr>
        <w:t xml:space="preserve">SS block time index ambiguity </w:t>
      </w:r>
      <w:r w:rsidR="007A420D" w:rsidRPr="007A420D">
        <w:rPr>
          <w:b/>
          <w:lang w:val="en-US"/>
        </w:rPr>
        <w:t>for</w:t>
      </w:r>
      <w:r w:rsidR="007A420D" w:rsidRPr="007A420D">
        <w:rPr>
          <w:rFonts w:cs="Arial"/>
          <w:b/>
          <w:lang w:val="en-US"/>
        </w:rPr>
        <w:t xml:space="preserve"> a cell with multiple TRPs</w:t>
      </w:r>
      <w:r w:rsidR="00554827">
        <w:rPr>
          <w:rFonts w:cs="Arial"/>
          <w:b/>
          <w:lang w:val="en-US"/>
        </w:rPr>
        <w:t>.</w:t>
      </w:r>
      <w:r w:rsidRPr="00E75049">
        <w:rPr>
          <w:b/>
          <w:bCs/>
        </w:rPr>
        <w:t xml:space="preserve">   </w:t>
      </w:r>
    </w:p>
    <w:p w:rsidR="00E75049" w:rsidRDefault="00E75049" w:rsidP="00086ACB">
      <w:pPr>
        <w:rPr>
          <w:b/>
          <w:bCs/>
        </w:rPr>
      </w:pPr>
      <w:r>
        <w:rPr>
          <w:b/>
          <w:bCs/>
        </w:rPr>
        <w:t xml:space="preserve">Proposal </w:t>
      </w:r>
      <w:r w:rsidR="004154C2">
        <w:rPr>
          <w:b/>
          <w:bCs/>
        </w:rPr>
        <w:t>3</w:t>
      </w:r>
      <w:r w:rsidR="004F79D6">
        <w:rPr>
          <w:b/>
          <w:bCs/>
        </w:rPr>
        <w:t xml:space="preserve">: </w:t>
      </w:r>
      <w:r w:rsidR="00270EF1">
        <w:rPr>
          <w:b/>
          <w:bCs/>
        </w:rPr>
        <w:t xml:space="preserve"> </w:t>
      </w:r>
      <w:r w:rsidR="00AB6582">
        <w:rPr>
          <w:b/>
          <w:bCs/>
        </w:rPr>
        <w:t xml:space="preserve">RRM measurements for </w:t>
      </w:r>
      <w:r w:rsidR="00B17165">
        <w:rPr>
          <w:b/>
          <w:bCs/>
        </w:rPr>
        <w:t>CONNECTED</w:t>
      </w:r>
      <w:r w:rsidR="00AB6582">
        <w:rPr>
          <w:b/>
          <w:bCs/>
        </w:rPr>
        <w:t xml:space="preserve"> mode UE intra-cell mobility are short-term channel quality measurements.  </w:t>
      </w:r>
      <w:r w:rsidR="004F79D6">
        <w:rPr>
          <w:b/>
          <w:bCs/>
        </w:rPr>
        <w:t xml:space="preserve"> </w:t>
      </w:r>
      <w:r w:rsidR="00763D11">
        <w:rPr>
          <w:b/>
          <w:bCs/>
        </w:rPr>
        <w:t xml:space="preserve">DL signals for </w:t>
      </w:r>
      <w:r w:rsidR="00AB6582">
        <w:rPr>
          <w:b/>
          <w:bCs/>
        </w:rPr>
        <w:t xml:space="preserve">short-term channel quality </w:t>
      </w:r>
      <w:r w:rsidR="00763D11">
        <w:rPr>
          <w:b/>
          <w:bCs/>
        </w:rPr>
        <w:t>measurements i</w:t>
      </w:r>
      <w:r>
        <w:rPr>
          <w:b/>
          <w:bCs/>
        </w:rPr>
        <w:t xml:space="preserve">nclude </w:t>
      </w:r>
      <w:r w:rsidR="00506F07">
        <w:rPr>
          <w:b/>
          <w:bCs/>
        </w:rPr>
        <w:t>TSS</w:t>
      </w:r>
      <w:r>
        <w:rPr>
          <w:b/>
          <w:bCs/>
        </w:rPr>
        <w:t xml:space="preserve"> (CSI-RS).  </w:t>
      </w:r>
    </w:p>
    <w:p w:rsidR="001C3352" w:rsidRDefault="00763D11" w:rsidP="00086ACB">
      <w:pPr>
        <w:rPr>
          <w:bCs/>
        </w:rPr>
      </w:pPr>
      <w:r>
        <w:rPr>
          <w:bCs/>
        </w:rPr>
        <w:t>When multi-beam is configured in a</w:t>
      </w:r>
      <w:r w:rsidR="00473950">
        <w:rPr>
          <w:bCs/>
        </w:rPr>
        <w:t>n</w:t>
      </w:r>
      <w:r>
        <w:rPr>
          <w:bCs/>
        </w:rPr>
        <w:t xml:space="preserve"> NR system, </w:t>
      </w:r>
      <w:r w:rsidR="001505B8">
        <w:rPr>
          <w:bCs/>
        </w:rPr>
        <w:t>each beam will be c</w:t>
      </w:r>
      <w:r w:rsidR="00EB13D6">
        <w:rPr>
          <w:bCs/>
        </w:rPr>
        <w:t>onfigured with its own beam-specific RS</w:t>
      </w:r>
      <w:r w:rsidR="00E3086F">
        <w:rPr>
          <w:bCs/>
        </w:rPr>
        <w:t>, such as CSI-RS,</w:t>
      </w:r>
      <w:r w:rsidR="00EB13D6">
        <w:rPr>
          <w:bCs/>
        </w:rPr>
        <w:t xml:space="preserve"> in order for UE autonomously detection of </w:t>
      </w:r>
      <w:r w:rsidR="001505B8">
        <w:rPr>
          <w:bCs/>
        </w:rPr>
        <w:t>the beam</w:t>
      </w:r>
      <w:r w:rsidR="00EB13D6">
        <w:rPr>
          <w:bCs/>
        </w:rPr>
        <w:t xml:space="preserve"> and measurement of channel state information of each beam</w:t>
      </w:r>
      <w:r w:rsidR="001505B8">
        <w:rPr>
          <w:bCs/>
        </w:rPr>
        <w:t xml:space="preserve">.  </w:t>
      </w:r>
      <w:r w:rsidR="00EB13D6">
        <w:rPr>
          <w:bCs/>
        </w:rPr>
        <w:t xml:space="preserve"> </w:t>
      </w:r>
      <w:r w:rsidR="00A957BB">
        <w:rPr>
          <w:bCs/>
        </w:rPr>
        <w:t xml:space="preserve">The beam-specific RS is also used for the channel tracking and channel estimation of each beam in the multi-beam configuration.  </w:t>
      </w:r>
      <w:r w:rsidR="00EB13D6">
        <w:rPr>
          <w:bCs/>
        </w:rPr>
        <w:t>The RRM measurements would be based on beam-specific RS.  DL broadcast channel, DL control channel, and DL shared channel are all</w:t>
      </w:r>
      <w:r w:rsidR="001505B8">
        <w:rPr>
          <w:bCs/>
        </w:rPr>
        <w:t xml:space="preserve"> beam f</w:t>
      </w:r>
      <w:r w:rsidR="00EB13D6">
        <w:rPr>
          <w:bCs/>
        </w:rPr>
        <w:t>ormed in the multi-beam configuration</w:t>
      </w:r>
      <w:r w:rsidR="001505B8">
        <w:rPr>
          <w:bCs/>
        </w:rPr>
        <w:t xml:space="preserve">.  </w:t>
      </w:r>
      <w:r w:rsidR="00A957BB">
        <w:rPr>
          <w:bCs/>
        </w:rPr>
        <w:t>The DM RS of the DL control channel and DL shared channel needs to be QCL</w:t>
      </w:r>
      <w:r w:rsidR="0008692E">
        <w:rPr>
          <w:bCs/>
        </w:rPr>
        <w:t>’e</w:t>
      </w:r>
      <w:r w:rsidR="00A957BB">
        <w:rPr>
          <w:bCs/>
        </w:rPr>
        <w:t xml:space="preserve">d with the beam-specific RS for multi-beam operation.   The RRM measurements of multi-beam operation would be based on beam-specific RS and DM RS of DL control channel and DL shared channel.  </w:t>
      </w:r>
    </w:p>
    <w:p w:rsidR="0022293F" w:rsidRDefault="0022293F" w:rsidP="0022293F">
      <w:pPr>
        <w:pStyle w:val="maintext"/>
        <w:spacing w:before="0" w:after="0" w:line="240" w:lineRule="auto"/>
        <w:ind w:firstLineChars="0" w:firstLine="0"/>
      </w:pPr>
      <w:r>
        <w:t xml:space="preserve">For inter-cell mobility for CONNECTED mode UEs, the RRM measurements are the long-term </w:t>
      </w:r>
      <w:r w:rsidR="00B179EE">
        <w:t>path loss</w:t>
      </w:r>
      <w:r>
        <w:t xml:space="preserve"> measurements to determine the best camping cell.  </w:t>
      </w:r>
      <w:r w:rsidR="006B4D1B">
        <w:rPr>
          <w:bCs/>
        </w:rPr>
        <w:t xml:space="preserve">The camping cell is selected by UE when UE is under its coverage area. </w:t>
      </w:r>
      <w:r w:rsidR="006B4D1B">
        <w:t xml:space="preserve">CONNECTED mode UEs continues </w:t>
      </w:r>
      <w:r w:rsidR="005C0F64">
        <w:t xml:space="preserve">the </w:t>
      </w:r>
      <w:r w:rsidR="006B4D1B">
        <w:t xml:space="preserve">search for NR-PSS/NR-SSS of </w:t>
      </w:r>
      <w:r w:rsidR="00967920">
        <w:t>neighbouring</w:t>
      </w:r>
      <w:r w:rsidR="006B4D1B">
        <w:t xml:space="preserve"> cells.   When the signal strength of the </w:t>
      </w:r>
      <w:r w:rsidR="00967920">
        <w:t>neighbouring</w:t>
      </w:r>
      <w:r w:rsidR="006B4D1B">
        <w:t xml:space="preserve"> cell is detected above the configured threshold, UEs will use the cell associated signals NR-PSS/NR-SSS and associated cell specific signals DM RS of NR-PBCH for the RRM measurements.  Thus, NR-PSS/NR-SSS and the NR-PBCH are the signals </w:t>
      </w:r>
      <w:r>
        <w:t xml:space="preserve">for </w:t>
      </w:r>
      <w:r w:rsidR="006B4D1B">
        <w:t xml:space="preserve">the long-term </w:t>
      </w:r>
      <w:r w:rsidR="00B179EE">
        <w:t>path loss</w:t>
      </w:r>
      <w:r>
        <w:t xml:space="preserve"> RRM measurements</w:t>
      </w:r>
      <w:r w:rsidR="006B4D1B">
        <w:t xml:space="preserve"> for CONNECTED mode UE inter</w:t>
      </w:r>
      <w:r>
        <w:t xml:space="preserve">-cell mobility.   </w:t>
      </w:r>
    </w:p>
    <w:p w:rsidR="0022293F" w:rsidRDefault="0022293F" w:rsidP="0022293F">
      <w:pPr>
        <w:pStyle w:val="maintext"/>
        <w:spacing w:before="0" w:after="0" w:line="240" w:lineRule="auto"/>
        <w:ind w:firstLineChars="0" w:firstLine="0"/>
        <w:rPr>
          <w:lang w:val="en-US"/>
        </w:rPr>
      </w:pPr>
    </w:p>
    <w:p w:rsidR="00B818ED" w:rsidRDefault="0022293F" w:rsidP="00B7361A">
      <w:pPr>
        <w:rPr>
          <w:b/>
          <w:bCs/>
        </w:rPr>
      </w:pPr>
      <w:r>
        <w:rPr>
          <w:b/>
          <w:bCs/>
        </w:rPr>
        <w:t xml:space="preserve">Proposal </w:t>
      </w:r>
      <w:r w:rsidR="004154C2">
        <w:rPr>
          <w:b/>
          <w:bCs/>
        </w:rPr>
        <w:t>4</w:t>
      </w:r>
      <w:r>
        <w:rPr>
          <w:b/>
          <w:bCs/>
        </w:rPr>
        <w:t xml:space="preserve">:  </w:t>
      </w:r>
      <w:r w:rsidR="006B4D1B">
        <w:rPr>
          <w:b/>
          <w:bCs/>
        </w:rPr>
        <w:t xml:space="preserve">RRM measurements for </w:t>
      </w:r>
      <w:r w:rsidR="00270EF1">
        <w:rPr>
          <w:b/>
          <w:bCs/>
        </w:rPr>
        <w:t>CONNECTED mode UE inter-cell</w:t>
      </w:r>
      <w:r w:rsidR="006B4D1B">
        <w:rPr>
          <w:b/>
          <w:bCs/>
        </w:rPr>
        <w:t xml:space="preserve"> mobility are the long-term </w:t>
      </w:r>
      <w:r w:rsidR="00B179EE">
        <w:rPr>
          <w:b/>
          <w:bCs/>
        </w:rPr>
        <w:t>path loss</w:t>
      </w:r>
      <w:r w:rsidR="006B4D1B">
        <w:rPr>
          <w:b/>
          <w:bCs/>
        </w:rPr>
        <w:t xml:space="preserve"> measurements.   </w:t>
      </w:r>
      <w:r w:rsidR="006B4D1B" w:rsidRPr="006B4D1B">
        <w:rPr>
          <w:b/>
          <w:bCs/>
        </w:rPr>
        <w:t xml:space="preserve">NR-PSS/NR-SSS and the NR-PBCH are the signals for the long-term </w:t>
      </w:r>
      <w:r w:rsidR="00B179EE">
        <w:rPr>
          <w:b/>
          <w:bCs/>
        </w:rPr>
        <w:t>path loss</w:t>
      </w:r>
      <w:r w:rsidR="00270EF1">
        <w:rPr>
          <w:b/>
          <w:bCs/>
        </w:rPr>
        <w:t xml:space="preserve"> RRM measurements</w:t>
      </w:r>
      <w:r w:rsidR="006B4D1B" w:rsidRPr="006B4D1B">
        <w:rPr>
          <w:b/>
          <w:bCs/>
        </w:rPr>
        <w:t xml:space="preserve">. </w:t>
      </w:r>
    </w:p>
    <w:p w:rsidR="001078CF" w:rsidRDefault="000318BB" w:rsidP="001078CF">
      <w:pPr>
        <w:pStyle w:val="Heading2"/>
      </w:pPr>
      <w:r>
        <w:t xml:space="preserve">NR </w:t>
      </w:r>
      <w:r w:rsidR="002C7953">
        <w:t>RSRQ Definition</w:t>
      </w:r>
    </w:p>
    <w:p w:rsidR="00DC6142" w:rsidRDefault="00231A2F" w:rsidP="00DC6142">
      <w:pPr>
        <w:rPr>
          <w:bCs/>
        </w:rPr>
      </w:pPr>
      <w:r>
        <w:rPr>
          <w:bCs/>
        </w:rPr>
        <w:t xml:space="preserve">In our view, NR </w:t>
      </w:r>
      <w:r w:rsidR="00DC6142">
        <w:rPr>
          <w:bCs/>
        </w:rPr>
        <w:t>RSRQ</w:t>
      </w:r>
      <w:r w:rsidR="00554827">
        <w:rPr>
          <w:bCs/>
        </w:rPr>
        <w:t xml:space="preserve"> </w:t>
      </w:r>
      <w:r w:rsidR="003C25A8">
        <w:rPr>
          <w:bCs/>
        </w:rPr>
        <w:t>can</w:t>
      </w:r>
      <w:r>
        <w:rPr>
          <w:bCs/>
        </w:rPr>
        <w:t xml:space="preserve"> be introduced </w:t>
      </w:r>
      <w:r w:rsidR="0060057B">
        <w:rPr>
          <w:bCs/>
        </w:rPr>
        <w:t>as follows</w:t>
      </w:r>
      <w:r w:rsidR="00DC6142">
        <w:rPr>
          <w:bCs/>
        </w:rPr>
        <w:t xml:space="preserve">: </w:t>
      </w:r>
    </w:p>
    <w:p w:rsidR="00231A2F" w:rsidRPr="00231A2F" w:rsidRDefault="00730195" w:rsidP="00DC6142">
      <w:pPr>
        <w:rPr>
          <w:b/>
          <w:bCs/>
        </w:rPr>
      </w:pPr>
      <w:r>
        <w:rPr>
          <w:b/>
        </w:rPr>
        <w:t xml:space="preserve">NR </w:t>
      </w:r>
      <w:r w:rsidR="00231A2F" w:rsidRPr="00231A2F">
        <w:rPr>
          <w:b/>
        </w:rPr>
        <w:t xml:space="preserve">Reference Signal Received Quality (RSRQ) </w:t>
      </w:r>
    </w:p>
    <w:tbl>
      <w:tblPr>
        <w:tblStyle w:val="TableGrid"/>
        <w:tblW w:w="0" w:type="auto"/>
        <w:tblLook w:val="04A0"/>
      </w:tblPr>
      <w:tblGrid>
        <w:gridCol w:w="1548"/>
        <w:gridCol w:w="8307"/>
      </w:tblGrid>
      <w:tr w:rsidR="00AD0FE0" w:rsidTr="00EF149D">
        <w:tc>
          <w:tcPr>
            <w:tcW w:w="1548" w:type="dxa"/>
          </w:tcPr>
          <w:p w:rsidR="00AD0FE0" w:rsidRDefault="00AD0FE0" w:rsidP="00CA0CEB">
            <w:pPr>
              <w:pStyle w:val="TAL"/>
              <w:rPr>
                <w:b/>
              </w:rPr>
            </w:pPr>
            <w:r>
              <w:rPr>
                <w:b/>
              </w:rPr>
              <w:lastRenderedPageBreak/>
              <w:t>Definition</w:t>
            </w:r>
          </w:p>
        </w:tc>
        <w:tc>
          <w:tcPr>
            <w:tcW w:w="8307" w:type="dxa"/>
          </w:tcPr>
          <w:p w:rsidR="00C6238B" w:rsidRDefault="00C6238B" w:rsidP="00C6238B">
            <w:pPr>
              <w:pStyle w:val="TAL"/>
            </w:pPr>
            <w:r>
              <w:t xml:space="preserve">Reference Signal Received Quality (RSRQ) is defined as the ratio </w:t>
            </w:r>
            <w:r w:rsidRPr="00D9767D">
              <w:rPr>
                <w:i/>
                <w:iCs/>
              </w:rPr>
              <w:t>N</w:t>
            </w:r>
            <w:r>
              <w:rPr>
                <w:rFonts w:cs="Arial"/>
              </w:rPr>
              <w:t>×</w:t>
            </w:r>
            <w:r>
              <w:t>RSRP/(</w:t>
            </w:r>
            <w:r w:rsidR="008A6F5B">
              <w:t>NR</w:t>
            </w:r>
            <w:r>
              <w:t xml:space="preserve"> carrier RSSI), where </w:t>
            </w:r>
            <w:r w:rsidRPr="00D9767D">
              <w:rPr>
                <w:i/>
                <w:iCs/>
              </w:rPr>
              <w:t>N</w:t>
            </w:r>
            <w:r>
              <w:t xml:space="preserve"> is the number of RB’s of the </w:t>
            </w:r>
            <w:r w:rsidR="008A6F5B">
              <w:t>NR</w:t>
            </w:r>
            <w:r w:rsidR="00066D5F">
              <w:t xml:space="preserve"> </w:t>
            </w:r>
            <w:r>
              <w:t>carrier RSSI measurement bandwidth. The measurements in the numerator and denominator shall be made over the same set of resource blocks.</w:t>
            </w:r>
          </w:p>
          <w:p w:rsidR="00C6238B" w:rsidRDefault="00C6238B" w:rsidP="00C6238B">
            <w:pPr>
              <w:pStyle w:val="TAL"/>
            </w:pPr>
          </w:p>
          <w:p w:rsidR="00C6238B" w:rsidRDefault="008A6F5B" w:rsidP="00C6238B">
            <w:pPr>
              <w:pStyle w:val="TAL"/>
            </w:pPr>
            <w:r>
              <w:t>NR</w:t>
            </w:r>
            <w:r w:rsidR="00C6238B">
              <w:t xml:space="preserve"> Carrier Received Signal Strength Indicator (RSSI), comprises the </w:t>
            </w:r>
            <w:r w:rsidR="00C6238B">
              <w:rPr>
                <w:lang w:val="en-US"/>
              </w:rPr>
              <w:t xml:space="preserve">linear average of the </w:t>
            </w:r>
            <w:r w:rsidR="00C6238B">
              <w:t xml:space="preserve">total received </w:t>
            </w:r>
            <w:r w:rsidR="00C6238B" w:rsidRPr="004C7680">
              <w:t xml:space="preserve">power </w:t>
            </w:r>
            <w:r w:rsidR="00C6238B">
              <w:rPr>
                <w:lang w:val="en-US"/>
              </w:rPr>
              <w:t xml:space="preserve">(in [W]) </w:t>
            </w:r>
            <w:r w:rsidR="00C6238B" w:rsidRPr="004C7680">
              <w:t xml:space="preserve">observed </w:t>
            </w:r>
            <w:r w:rsidR="00C6238B">
              <w:rPr>
                <w:lang w:val="en-US"/>
              </w:rPr>
              <w:t xml:space="preserve">only in certain </w:t>
            </w:r>
            <w:r w:rsidR="00C6238B" w:rsidRPr="00043287">
              <w:rPr>
                <w:lang w:val="en-US"/>
              </w:rPr>
              <w:t xml:space="preserve">OFDM symbols </w:t>
            </w:r>
            <w:r w:rsidR="00C6238B" w:rsidRPr="00EF04FB">
              <w:rPr>
                <w:lang w:val="en-US"/>
              </w:rPr>
              <w:t>of measurement subframes</w:t>
            </w:r>
            <w:r w:rsidR="00C6238B">
              <w:rPr>
                <w:lang w:val="en-US"/>
              </w:rPr>
              <w:t xml:space="preserve">, </w:t>
            </w:r>
            <w:r w:rsidR="00C6238B" w:rsidRPr="00D6535F">
              <w:t xml:space="preserve">in the measurement bandwidth, </w:t>
            </w:r>
            <w:r w:rsidR="00C6238B">
              <w:t xml:space="preserve">over </w:t>
            </w:r>
            <w:r w:rsidR="00C6238B" w:rsidRPr="002603DC">
              <w:rPr>
                <w:i/>
                <w:iCs/>
              </w:rPr>
              <w:t>N</w:t>
            </w:r>
            <w:r w:rsidR="00C6238B">
              <w:t xml:space="preserve"> number of resource blocks </w:t>
            </w:r>
            <w:r w:rsidR="00C6238B" w:rsidRPr="004C7680">
              <w:t>by the UE from all sources, including co-channel serving and non-serving cells, adjacent channel interference, thermal noise etc.</w:t>
            </w:r>
            <w:r w:rsidR="00C6238B">
              <w:t xml:space="preserve"> </w:t>
            </w:r>
          </w:p>
          <w:p w:rsidR="00C6238B" w:rsidRDefault="00C6238B" w:rsidP="00C6238B">
            <w:pPr>
              <w:pStyle w:val="TAL"/>
            </w:pPr>
          </w:p>
          <w:p w:rsidR="00C6238B" w:rsidRDefault="00C6238B" w:rsidP="00C6238B">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Pr="001B26EB">
              <w:t>If higher-layer</w:t>
            </w:r>
            <w:r>
              <w:t>s</w:t>
            </w:r>
            <w:r w:rsidRPr="001B26EB">
              <w:t xml:space="preserve"> indicate certain subframes</w:t>
            </w:r>
            <w:r>
              <w:t xml:space="preserve"> for performing RSRQ </w:t>
            </w:r>
            <w:r w:rsidRPr="001B26EB">
              <w:t>measurement</w:t>
            </w:r>
            <w:r>
              <w:t>s</w:t>
            </w:r>
            <w:r w:rsidRPr="001B26EB">
              <w:t>,</w:t>
            </w:r>
            <w:r>
              <w:t xml:space="preserve"> then</w:t>
            </w:r>
            <w:r w:rsidRPr="001B26EB">
              <w:t xml:space="preserve"> RSSI is</w:t>
            </w:r>
            <w:r>
              <w:t xml:space="preserve"> measured from all OFDM symbols</w:t>
            </w:r>
            <w:r w:rsidRPr="001B26EB">
              <w:t xml:space="preserve"> </w:t>
            </w:r>
            <w:r>
              <w:t>of the DL part of</w:t>
            </w:r>
            <w:r w:rsidRPr="001B26EB">
              <w:t xml:space="preserve"> the </w:t>
            </w:r>
            <w:r w:rsidRPr="008A6F5B">
              <w:t>indicated</w:t>
            </w:r>
            <w:r w:rsidRPr="001B26EB">
              <w:t xml:space="preserve"> subframes.</w:t>
            </w:r>
            <w:r w:rsidR="005A33D0">
              <w:t xml:space="preserve"> </w:t>
            </w:r>
          </w:p>
          <w:p w:rsidR="005A33D0" w:rsidRDefault="005A33D0" w:rsidP="00C6238B">
            <w:pPr>
              <w:pStyle w:val="TAL"/>
            </w:pPr>
          </w:p>
          <w:p w:rsidR="005A33D0" w:rsidRDefault="005A33D0" w:rsidP="005A33D0">
            <w:pPr>
              <w:pStyle w:val="TAL"/>
            </w:pPr>
            <w:r>
              <w:t xml:space="preserve">The reference point for the </w:t>
            </w:r>
            <w:r>
              <w:rPr>
                <w:rFonts w:hint="eastAsia"/>
                <w:lang w:eastAsia="zh-CN"/>
              </w:rPr>
              <w:t>RSRQ</w:t>
            </w:r>
            <w:r>
              <w:t xml:space="preserve"> shall be the antenna connector of the UE.</w:t>
            </w:r>
          </w:p>
          <w:p w:rsidR="005A33D0" w:rsidRDefault="005A33D0" w:rsidP="005A33D0">
            <w:pPr>
              <w:pStyle w:val="TAL"/>
            </w:pPr>
          </w:p>
          <w:p w:rsidR="005A33D0" w:rsidRDefault="005A33D0" w:rsidP="005A33D0">
            <w:pPr>
              <w:pStyle w:val="TAL"/>
            </w:pPr>
            <w:r>
              <w:t>If receiver diversity is in use by the UE, the reported value shall not be lower than the corresponding RSRQ of any of the individual diversity branches.</w:t>
            </w:r>
          </w:p>
        </w:tc>
      </w:tr>
      <w:tr w:rsidR="005A33D0" w:rsidTr="004B2686">
        <w:tc>
          <w:tcPr>
            <w:tcW w:w="1548" w:type="dxa"/>
          </w:tcPr>
          <w:p w:rsidR="005A33D0" w:rsidRDefault="005A33D0" w:rsidP="004B2686">
            <w:pPr>
              <w:pStyle w:val="TAL"/>
              <w:rPr>
                <w:b/>
              </w:rPr>
            </w:pPr>
            <w:r>
              <w:rPr>
                <w:b/>
              </w:rPr>
              <w:t>Applicable for</w:t>
            </w:r>
          </w:p>
        </w:tc>
        <w:tc>
          <w:tcPr>
            <w:tcW w:w="8307" w:type="dxa"/>
          </w:tcPr>
          <w:p w:rsidR="005A33D0" w:rsidRPr="00486914" w:rsidRDefault="005A33D0" w:rsidP="005A33D0">
            <w:pPr>
              <w:pStyle w:val="TAL"/>
            </w:pPr>
            <w:r w:rsidRPr="00486914">
              <w:t>RRC_IDLE</w:t>
            </w:r>
            <w:r>
              <w:t xml:space="preserve"> intra-frequency,</w:t>
            </w:r>
          </w:p>
          <w:p w:rsidR="005A33D0" w:rsidRDefault="005A33D0" w:rsidP="005A33D0">
            <w:pPr>
              <w:pStyle w:val="TAL"/>
            </w:pPr>
            <w:r>
              <w:t>R</w:t>
            </w:r>
            <w:r w:rsidRPr="00486914">
              <w:t>RC_IDLE</w:t>
            </w:r>
            <w:r>
              <w:t xml:space="preserve"> inter-frequency,</w:t>
            </w:r>
          </w:p>
          <w:p w:rsidR="005A33D0" w:rsidRDefault="005A33D0" w:rsidP="005A33D0">
            <w:pPr>
              <w:pStyle w:val="TAL"/>
            </w:pPr>
            <w:r w:rsidRPr="00486914">
              <w:t>RRC_CONNECTED</w:t>
            </w:r>
            <w:r>
              <w:t xml:space="preserve"> intra-frequency,</w:t>
            </w:r>
          </w:p>
          <w:p w:rsidR="005A33D0" w:rsidRDefault="005A33D0" w:rsidP="005A33D0">
            <w:pPr>
              <w:pStyle w:val="TAL"/>
            </w:pPr>
            <w:r w:rsidRPr="00486914">
              <w:t>RRC_CONNECTED</w:t>
            </w:r>
            <w:r>
              <w:t xml:space="preserve"> inter-frequency.</w:t>
            </w:r>
          </w:p>
        </w:tc>
      </w:tr>
    </w:tbl>
    <w:p w:rsidR="00C6238B" w:rsidRDefault="00C6238B" w:rsidP="004B2686">
      <w:pPr>
        <w:pStyle w:val="TAL"/>
      </w:pPr>
    </w:p>
    <w:p w:rsidR="00E56F5C" w:rsidRDefault="001078CF" w:rsidP="001078CF">
      <w:pPr>
        <w:rPr>
          <w:bCs/>
        </w:rPr>
      </w:pPr>
      <w:r w:rsidRPr="001078CF">
        <w:rPr>
          <w:bCs/>
        </w:rPr>
        <w:t xml:space="preserve">  </w:t>
      </w:r>
    </w:p>
    <w:p w:rsidR="000859B2" w:rsidRPr="001D1EC3" w:rsidRDefault="000859B2" w:rsidP="00200DCD">
      <w:pPr>
        <w:pStyle w:val="Heading1"/>
      </w:pPr>
      <w:r>
        <w:t>Conclusion</w:t>
      </w:r>
    </w:p>
    <w:p w:rsidR="00E42762" w:rsidRDefault="00380740" w:rsidP="00E42762">
      <w:r>
        <w:t>Thi</w:t>
      </w:r>
      <w:r w:rsidR="00E42762">
        <w:t>s paper discusses th</w:t>
      </w:r>
      <w:r w:rsidR="00A957BB">
        <w:t>e RRM measurements for IDLE and CONNECTED mode UEs</w:t>
      </w:r>
      <w:r w:rsidR="001505B8">
        <w:t>.  We pro</w:t>
      </w:r>
      <w:r w:rsidR="00E42762">
        <w:t xml:space="preserve">pose the following, </w:t>
      </w:r>
      <w:r w:rsidR="00D42529">
        <w:t xml:space="preserve"> </w:t>
      </w:r>
    </w:p>
    <w:p w:rsidR="009A5CEC" w:rsidRPr="009A5CEC" w:rsidRDefault="00127616" w:rsidP="00553BDF">
      <w:pPr>
        <w:pStyle w:val="ListParagraph"/>
        <w:numPr>
          <w:ilvl w:val="0"/>
          <w:numId w:val="5"/>
        </w:numPr>
        <w:rPr>
          <w:b/>
          <w:bCs/>
        </w:rPr>
      </w:pPr>
      <w:r w:rsidRPr="009A5CEC">
        <w:rPr>
          <w:b/>
          <w:bCs/>
        </w:rPr>
        <w:t>Proposal 1:  TSS should be introduced to solve the SS block time index ambiguity for a cell with multiple TRPs.</w:t>
      </w:r>
    </w:p>
    <w:p w:rsidR="00E75049" w:rsidRPr="009A5CEC" w:rsidRDefault="00552C12" w:rsidP="00553BDF">
      <w:pPr>
        <w:pStyle w:val="ListParagraph"/>
        <w:numPr>
          <w:ilvl w:val="0"/>
          <w:numId w:val="5"/>
        </w:numPr>
        <w:rPr>
          <w:b/>
          <w:bCs/>
        </w:rPr>
      </w:pPr>
      <w:r w:rsidRPr="00552C12">
        <w:rPr>
          <w:b/>
          <w:bCs/>
        </w:rPr>
        <w:t>Proposal 2: CSI-RS could be considered as TSS as the candidate solution for SS block time index ambiguity f</w:t>
      </w:r>
      <w:r>
        <w:rPr>
          <w:b/>
          <w:bCs/>
        </w:rPr>
        <w:t xml:space="preserve">or a cell with multiple TRPs. </w:t>
      </w:r>
      <w:r w:rsidR="00E75049" w:rsidRPr="009A5CEC">
        <w:rPr>
          <w:b/>
          <w:bCs/>
        </w:rPr>
        <w:t xml:space="preserve">   </w:t>
      </w:r>
    </w:p>
    <w:p w:rsidR="00E75049" w:rsidRPr="009A5CEC" w:rsidRDefault="00553BDF" w:rsidP="00FA28CC">
      <w:pPr>
        <w:pStyle w:val="ListParagraph"/>
        <w:numPr>
          <w:ilvl w:val="0"/>
          <w:numId w:val="5"/>
        </w:numPr>
        <w:rPr>
          <w:b/>
          <w:bCs/>
        </w:rPr>
      </w:pPr>
      <w:r w:rsidRPr="009A5CEC">
        <w:rPr>
          <w:b/>
          <w:bCs/>
        </w:rPr>
        <w:t xml:space="preserve">Proposal 3: </w:t>
      </w:r>
      <w:r w:rsidR="00E75049" w:rsidRPr="009A5CEC">
        <w:rPr>
          <w:b/>
          <w:bCs/>
        </w:rPr>
        <w:t xml:space="preserve">RRM measurements for </w:t>
      </w:r>
      <w:r w:rsidR="000B2540" w:rsidRPr="009A5CEC">
        <w:rPr>
          <w:b/>
          <w:bCs/>
          <w:szCs w:val="20"/>
        </w:rPr>
        <w:t xml:space="preserve">CONNECTED </w:t>
      </w:r>
      <w:r w:rsidR="00E75049" w:rsidRPr="009A5CEC">
        <w:rPr>
          <w:b/>
          <w:bCs/>
        </w:rPr>
        <w:t xml:space="preserve">mode UE intra-cell mobility are short-term channel quality measurements.   DL signals for short-term channel quality measurements include TSS (CSI-RS).  </w:t>
      </w:r>
    </w:p>
    <w:p w:rsidR="005B2DD3" w:rsidRDefault="00270EF1" w:rsidP="00A17B9A">
      <w:pPr>
        <w:pStyle w:val="ListParagraph"/>
        <w:numPr>
          <w:ilvl w:val="0"/>
          <w:numId w:val="5"/>
        </w:numPr>
        <w:rPr>
          <w:b/>
          <w:bCs/>
          <w:szCs w:val="20"/>
        </w:rPr>
      </w:pPr>
      <w:r w:rsidRPr="009A5CEC">
        <w:rPr>
          <w:b/>
          <w:bCs/>
          <w:szCs w:val="20"/>
        </w:rPr>
        <w:t xml:space="preserve">Proposal </w:t>
      </w:r>
      <w:r w:rsidR="00553BDF" w:rsidRPr="009A5CEC">
        <w:rPr>
          <w:b/>
          <w:bCs/>
          <w:szCs w:val="20"/>
        </w:rPr>
        <w:t>4</w:t>
      </w:r>
      <w:r w:rsidRPr="009A5CEC">
        <w:rPr>
          <w:b/>
          <w:bCs/>
          <w:szCs w:val="20"/>
        </w:rPr>
        <w:t xml:space="preserve">:  RRM measurements for CONNECTED mode UE inter-cell mobility are the long-term </w:t>
      </w:r>
      <w:r w:rsidR="00B179EE">
        <w:rPr>
          <w:b/>
          <w:bCs/>
          <w:szCs w:val="20"/>
        </w:rPr>
        <w:t>path loss</w:t>
      </w:r>
      <w:r w:rsidRPr="009A5CEC">
        <w:rPr>
          <w:b/>
          <w:bCs/>
          <w:szCs w:val="20"/>
        </w:rPr>
        <w:t xml:space="preserve"> measurements.   NR-PSS/NR-SSS and the NR-PBCH are the signals for the long-te</w:t>
      </w:r>
      <w:r w:rsidR="00552C12">
        <w:rPr>
          <w:b/>
          <w:bCs/>
          <w:szCs w:val="20"/>
        </w:rPr>
        <w:t xml:space="preserve">rm </w:t>
      </w:r>
      <w:r w:rsidR="00B179EE">
        <w:rPr>
          <w:b/>
          <w:bCs/>
          <w:szCs w:val="20"/>
        </w:rPr>
        <w:t>path loss</w:t>
      </w:r>
      <w:r w:rsidR="00552C12">
        <w:rPr>
          <w:b/>
          <w:bCs/>
          <w:szCs w:val="20"/>
        </w:rPr>
        <w:t xml:space="preserve"> RRM measurements.</w:t>
      </w:r>
    </w:p>
    <w:p w:rsidR="00552C12" w:rsidRPr="00552C12" w:rsidRDefault="00552C12" w:rsidP="00A17B9A">
      <w:pPr>
        <w:pStyle w:val="ListParagraph"/>
        <w:numPr>
          <w:ilvl w:val="0"/>
          <w:numId w:val="5"/>
        </w:numPr>
        <w:rPr>
          <w:b/>
          <w:bCs/>
          <w:szCs w:val="20"/>
        </w:rPr>
      </w:pPr>
      <w:r>
        <w:rPr>
          <w:b/>
          <w:bCs/>
          <w:szCs w:val="20"/>
        </w:rPr>
        <w:t xml:space="preserve">Proposal 5: </w:t>
      </w:r>
      <w:r w:rsidR="005C3270">
        <w:rPr>
          <w:b/>
          <w:bCs/>
          <w:szCs w:val="20"/>
        </w:rPr>
        <w:t xml:space="preserve">Introduce </w:t>
      </w:r>
      <w:r w:rsidR="00555FA2">
        <w:rPr>
          <w:b/>
          <w:bCs/>
          <w:szCs w:val="20"/>
        </w:rPr>
        <w:t xml:space="preserve">the </w:t>
      </w:r>
      <w:r w:rsidRPr="00552C12">
        <w:rPr>
          <w:b/>
        </w:rPr>
        <w:t xml:space="preserve">NR RSRQ </w:t>
      </w:r>
      <w:r w:rsidR="005C3270">
        <w:rPr>
          <w:b/>
        </w:rPr>
        <w:t xml:space="preserve">definition </w:t>
      </w:r>
      <w:r w:rsidRPr="00552C12">
        <w:rPr>
          <w:b/>
        </w:rPr>
        <w:t>as defined in this paper.</w:t>
      </w:r>
    </w:p>
    <w:p w:rsidR="005B2DD3" w:rsidRDefault="005B2DD3" w:rsidP="005B2DD3">
      <w:pPr>
        <w:pStyle w:val="ListParagraph"/>
        <w:rPr>
          <w:b/>
          <w:bCs/>
          <w:szCs w:val="20"/>
        </w:rPr>
      </w:pPr>
    </w:p>
    <w:p w:rsidR="00017155" w:rsidRPr="00A4102F" w:rsidRDefault="00017155" w:rsidP="00415673">
      <w:pPr>
        <w:pStyle w:val="Heading8"/>
      </w:pPr>
      <w:r>
        <w:t>Reference</w:t>
      </w:r>
    </w:p>
    <w:p w:rsidR="007C512A" w:rsidRPr="00787C63" w:rsidRDefault="007C512A" w:rsidP="007C512A">
      <w:pPr>
        <w:pStyle w:val="BodyText"/>
        <w:numPr>
          <w:ilvl w:val="1"/>
          <w:numId w:val="23"/>
        </w:numPr>
        <w:tabs>
          <w:tab w:val="clear" w:pos="1545"/>
          <w:tab w:val="left" w:pos="0"/>
          <w:tab w:val="left" w:pos="540"/>
        </w:tabs>
        <w:overflowPunct/>
        <w:autoSpaceDE/>
        <w:autoSpaceDN/>
        <w:adjustRightInd/>
        <w:spacing w:after="0"/>
        <w:ind w:left="540" w:hangingChars="270" w:hanging="540"/>
        <w:jc w:val="both"/>
        <w:textAlignment w:val="auto"/>
        <w:rPr>
          <w:rFonts w:eastAsia="SimSun"/>
          <w:noProof/>
          <w:lang w:eastAsia="zh-CN"/>
        </w:rPr>
      </w:pPr>
      <w:bookmarkStart w:id="2" w:name="_Ref446581113"/>
      <w:bookmarkStart w:id="3" w:name="_Ref430885014"/>
      <w:r w:rsidRPr="00787C63">
        <w:rPr>
          <w:rFonts w:eastAsia="SimSun"/>
          <w:noProof/>
          <w:lang w:eastAsia="zh-CN"/>
        </w:rPr>
        <w:t>R1-17xxxx, Draft Report of 3GPP TSG RAN WG1 #AH_NR2 v0.1.0, MCC Support</w:t>
      </w:r>
    </w:p>
    <w:p w:rsidR="007C512A" w:rsidRPr="00787C63" w:rsidRDefault="007C512A" w:rsidP="007C512A">
      <w:pPr>
        <w:pStyle w:val="BodyText"/>
        <w:numPr>
          <w:ilvl w:val="1"/>
          <w:numId w:val="23"/>
        </w:numPr>
        <w:tabs>
          <w:tab w:val="clear" w:pos="1545"/>
          <w:tab w:val="left" w:pos="0"/>
          <w:tab w:val="left" w:pos="540"/>
        </w:tabs>
        <w:overflowPunct/>
        <w:autoSpaceDE/>
        <w:autoSpaceDN/>
        <w:adjustRightInd/>
        <w:spacing w:after="0"/>
        <w:ind w:left="540" w:hangingChars="270" w:hanging="540"/>
        <w:jc w:val="both"/>
        <w:textAlignment w:val="auto"/>
        <w:rPr>
          <w:rFonts w:eastAsia="SimSun"/>
          <w:noProof/>
          <w:lang w:eastAsia="zh-CN"/>
        </w:rPr>
      </w:pPr>
      <w:r w:rsidRPr="00787C63">
        <w:rPr>
          <w:rFonts w:eastAsia="SimSun"/>
          <w:noProof/>
          <w:lang w:eastAsia="zh-CN"/>
        </w:rPr>
        <w:t>R1-1709881, Draft Report of 3GPP TSG RAN WG1 #89 v0.2.0, MCC Support</w:t>
      </w:r>
    </w:p>
    <w:p w:rsidR="007C512A" w:rsidRDefault="007C512A" w:rsidP="007C512A">
      <w:pPr>
        <w:pStyle w:val="BodyText"/>
        <w:numPr>
          <w:ilvl w:val="1"/>
          <w:numId w:val="23"/>
        </w:numPr>
        <w:tabs>
          <w:tab w:val="clear" w:pos="1545"/>
          <w:tab w:val="left" w:pos="0"/>
          <w:tab w:val="left" w:pos="540"/>
        </w:tabs>
        <w:overflowPunct/>
        <w:autoSpaceDE/>
        <w:autoSpaceDN/>
        <w:adjustRightInd/>
        <w:spacing w:after="0"/>
        <w:ind w:left="540" w:hangingChars="270" w:hanging="540"/>
        <w:jc w:val="both"/>
        <w:textAlignment w:val="auto"/>
        <w:rPr>
          <w:rFonts w:eastAsia="SimSun"/>
          <w:noProof/>
          <w:lang w:eastAsia="zh-CN"/>
        </w:rPr>
      </w:pPr>
      <w:r w:rsidRPr="00787C63">
        <w:rPr>
          <w:rFonts w:eastAsia="SimSun"/>
          <w:noProof/>
          <w:lang w:eastAsia="zh-CN"/>
        </w:rPr>
        <w:t>R1-1708890, "Final Report of 3GPP TSG RAN WG1 #88bis v1.0.0", MCC Support</w:t>
      </w:r>
    </w:p>
    <w:p w:rsidR="007C512A" w:rsidRPr="007C512A" w:rsidRDefault="007C512A" w:rsidP="007C512A">
      <w:pPr>
        <w:pStyle w:val="BodyText"/>
        <w:numPr>
          <w:ilvl w:val="1"/>
          <w:numId w:val="23"/>
        </w:numPr>
        <w:tabs>
          <w:tab w:val="clear" w:pos="1545"/>
          <w:tab w:val="left" w:pos="0"/>
          <w:tab w:val="left" w:pos="540"/>
        </w:tabs>
        <w:spacing w:after="0"/>
        <w:ind w:left="540" w:hangingChars="270" w:hanging="540"/>
        <w:jc w:val="both"/>
        <w:rPr>
          <w:rFonts w:eastAsia="SimSun"/>
          <w:noProof/>
          <w:lang w:eastAsia="zh-CN"/>
        </w:rPr>
      </w:pPr>
      <w:r w:rsidRPr="007C512A">
        <w:rPr>
          <w:rFonts w:eastAsia="SimSun"/>
          <w:noProof/>
          <w:lang w:eastAsia="zh-CN"/>
        </w:rPr>
        <w:t>R1-1704172, "Final Report of 3GPP TSG RAN WG1 #88 v1.0.0", MCC Support</w:t>
      </w:r>
    </w:p>
    <w:p w:rsidR="007C512A" w:rsidRPr="007C512A" w:rsidRDefault="007C512A" w:rsidP="007C512A">
      <w:pPr>
        <w:pStyle w:val="BodyText"/>
        <w:numPr>
          <w:ilvl w:val="1"/>
          <w:numId w:val="23"/>
        </w:numPr>
        <w:tabs>
          <w:tab w:val="clear" w:pos="1545"/>
          <w:tab w:val="left" w:pos="0"/>
          <w:tab w:val="left" w:pos="540"/>
        </w:tabs>
        <w:spacing w:after="0"/>
        <w:ind w:left="540" w:hangingChars="270" w:hanging="540"/>
        <w:jc w:val="both"/>
        <w:rPr>
          <w:rFonts w:eastAsia="SimSun"/>
          <w:noProof/>
          <w:lang w:eastAsia="zh-CN"/>
        </w:rPr>
      </w:pPr>
      <w:r w:rsidRPr="007C512A">
        <w:rPr>
          <w:rFonts w:eastAsia="SimSun"/>
          <w:noProof/>
          <w:lang w:eastAsia="zh-CN"/>
        </w:rPr>
        <w:t>3GPP TS 36.214, "E-UTRAN: Physical layer; Measurements"</w:t>
      </w:r>
    </w:p>
    <w:p w:rsidR="007C512A" w:rsidRPr="007C512A" w:rsidRDefault="007C512A" w:rsidP="0040177E">
      <w:pPr>
        <w:pStyle w:val="BodyText"/>
        <w:numPr>
          <w:ilvl w:val="1"/>
          <w:numId w:val="23"/>
        </w:numPr>
        <w:tabs>
          <w:tab w:val="clear" w:pos="1545"/>
          <w:tab w:val="left" w:pos="0"/>
          <w:tab w:val="left" w:pos="540"/>
        </w:tabs>
        <w:overflowPunct/>
        <w:autoSpaceDE/>
        <w:autoSpaceDN/>
        <w:adjustRightInd/>
        <w:spacing w:after="0"/>
        <w:ind w:left="540" w:hangingChars="270" w:hanging="540"/>
        <w:jc w:val="both"/>
        <w:textAlignment w:val="auto"/>
        <w:rPr>
          <w:rFonts w:eastAsia="SimSun"/>
          <w:noProof/>
          <w:lang w:eastAsia="zh-CN"/>
        </w:rPr>
      </w:pPr>
      <w:r w:rsidRPr="007C512A">
        <w:rPr>
          <w:rFonts w:eastAsia="SimSun"/>
          <w:noProof/>
          <w:lang w:eastAsia="zh-CN"/>
        </w:rPr>
        <w:t>R1-1710036, "NR measurements and mobility management in IDLE and CONNECTED state ", CATT</w:t>
      </w:r>
    </w:p>
    <w:bookmarkEnd w:id="2"/>
    <w:bookmarkEnd w:id="3"/>
    <w:p w:rsidR="00DB3286" w:rsidRPr="003E03BB" w:rsidRDefault="00DB3286" w:rsidP="003E03BB">
      <w:pPr>
        <w:ind w:left="360"/>
      </w:pPr>
    </w:p>
    <w:sectPr w:rsidR="00DB3286" w:rsidRPr="003E03BB" w:rsidSect="002D51E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BBC" w:rsidRDefault="001A5BBC" w:rsidP="00086ACB">
      <w:r>
        <w:separator/>
      </w:r>
    </w:p>
  </w:endnote>
  <w:endnote w:type="continuationSeparator" w:id="0">
    <w:p w:rsidR="001A5BBC" w:rsidRDefault="001A5BBC"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C727E" w:rsidP="00747190">
    <w:pPr>
      <w:pStyle w:val="Footer"/>
      <w:framePr w:wrap="around" w:vAnchor="text" w:hAnchor="margin" w:xAlign="center" w:y="1"/>
      <w:rPr>
        <w:rStyle w:val="PageNumber"/>
      </w:rPr>
    </w:pPr>
    <w:r>
      <w:rPr>
        <w:rStyle w:val="PageNumber"/>
      </w:rPr>
      <w:fldChar w:fldCharType="begin"/>
    </w:r>
    <w:r w:rsidR="005E2DC6">
      <w:rPr>
        <w:rStyle w:val="PageNumber"/>
      </w:rPr>
      <w:instrText xml:space="preserve">PAGE  </w:instrText>
    </w:r>
    <w:r>
      <w:rPr>
        <w:rStyle w:val="PageNumber"/>
      </w:rPr>
      <w:fldChar w:fldCharType="end"/>
    </w:r>
  </w:p>
  <w:p w:rsidR="005E2DC6" w:rsidRDefault="005E2D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C727E" w:rsidP="00747190">
    <w:pPr>
      <w:pStyle w:val="Footer"/>
      <w:framePr w:wrap="around" w:vAnchor="text" w:hAnchor="margin" w:xAlign="center" w:y="1"/>
      <w:rPr>
        <w:rStyle w:val="PageNumber"/>
      </w:rPr>
    </w:pPr>
    <w:r>
      <w:rPr>
        <w:rStyle w:val="PageNumber"/>
      </w:rPr>
      <w:fldChar w:fldCharType="begin"/>
    </w:r>
    <w:r w:rsidR="005E2DC6">
      <w:rPr>
        <w:rStyle w:val="PageNumber"/>
      </w:rPr>
      <w:instrText xml:space="preserve">PAGE  </w:instrText>
    </w:r>
    <w:r>
      <w:rPr>
        <w:rStyle w:val="PageNumber"/>
      </w:rPr>
      <w:fldChar w:fldCharType="separate"/>
    </w:r>
    <w:r w:rsidR="00555FA2">
      <w:rPr>
        <w:rStyle w:val="PageNumber"/>
      </w:rPr>
      <w:t>5</w:t>
    </w:r>
    <w:r>
      <w:rPr>
        <w:rStyle w:val="PageNumber"/>
      </w:rPr>
      <w:fldChar w:fldCharType="end"/>
    </w:r>
  </w:p>
  <w:p w:rsidR="005E2DC6" w:rsidRDefault="005E2D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BBC" w:rsidRDefault="001A5BBC" w:rsidP="00086ACB">
      <w:r>
        <w:separator/>
      </w:r>
    </w:p>
  </w:footnote>
  <w:footnote w:type="continuationSeparator" w:id="0">
    <w:p w:rsidR="001A5BBC" w:rsidRDefault="001A5BB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9536BC2"/>
    <w:multiLevelType w:val="hybridMultilevel"/>
    <w:tmpl w:val="64AED620"/>
    <w:lvl w:ilvl="0" w:tplc="256287A6">
      <w:start w:val="1"/>
      <w:numFmt w:val="bullet"/>
      <w:lvlText w:val="–"/>
      <w:lvlJc w:val="left"/>
      <w:pPr>
        <w:tabs>
          <w:tab w:val="num" w:pos="644"/>
        </w:tabs>
        <w:ind w:left="644" w:hanging="360"/>
      </w:pPr>
      <w:rPr>
        <w:rFonts w:ascii="Arial" w:hAnsi="Arial" w:hint="default"/>
      </w:rPr>
    </w:lvl>
    <w:lvl w:ilvl="1" w:tplc="8034B086">
      <w:start w:val="1"/>
      <w:numFmt w:val="bullet"/>
      <w:lvlText w:val="–"/>
      <w:lvlJc w:val="left"/>
      <w:pPr>
        <w:tabs>
          <w:tab w:val="num" w:pos="1364"/>
        </w:tabs>
        <w:ind w:left="1364" w:hanging="360"/>
      </w:pPr>
      <w:rPr>
        <w:rFonts w:ascii="Arial" w:hAnsi="Arial" w:hint="default"/>
      </w:rPr>
    </w:lvl>
    <w:lvl w:ilvl="2" w:tplc="A95A84BA">
      <w:start w:val="3426"/>
      <w:numFmt w:val="bullet"/>
      <w:lvlText w:val="•"/>
      <w:lvlJc w:val="left"/>
      <w:pPr>
        <w:tabs>
          <w:tab w:val="num" w:pos="2084"/>
        </w:tabs>
        <w:ind w:left="2084" w:hanging="360"/>
      </w:pPr>
      <w:rPr>
        <w:rFonts w:ascii="Arial" w:hAnsi="Arial" w:hint="default"/>
      </w:rPr>
    </w:lvl>
    <w:lvl w:ilvl="3" w:tplc="585A0DC6" w:tentative="1">
      <w:start w:val="1"/>
      <w:numFmt w:val="bullet"/>
      <w:lvlText w:val="–"/>
      <w:lvlJc w:val="left"/>
      <w:pPr>
        <w:tabs>
          <w:tab w:val="num" w:pos="2804"/>
        </w:tabs>
        <w:ind w:left="2804" w:hanging="360"/>
      </w:pPr>
      <w:rPr>
        <w:rFonts w:ascii="Arial" w:hAnsi="Arial" w:hint="default"/>
      </w:rPr>
    </w:lvl>
    <w:lvl w:ilvl="4" w:tplc="C25820CE" w:tentative="1">
      <w:start w:val="1"/>
      <w:numFmt w:val="bullet"/>
      <w:lvlText w:val="–"/>
      <w:lvlJc w:val="left"/>
      <w:pPr>
        <w:tabs>
          <w:tab w:val="num" w:pos="3524"/>
        </w:tabs>
        <w:ind w:left="3524" w:hanging="360"/>
      </w:pPr>
      <w:rPr>
        <w:rFonts w:ascii="Arial" w:hAnsi="Arial" w:hint="default"/>
      </w:rPr>
    </w:lvl>
    <w:lvl w:ilvl="5" w:tplc="CDBAD828" w:tentative="1">
      <w:start w:val="1"/>
      <w:numFmt w:val="bullet"/>
      <w:lvlText w:val="–"/>
      <w:lvlJc w:val="left"/>
      <w:pPr>
        <w:tabs>
          <w:tab w:val="num" w:pos="4244"/>
        </w:tabs>
        <w:ind w:left="4244" w:hanging="360"/>
      </w:pPr>
      <w:rPr>
        <w:rFonts w:ascii="Arial" w:hAnsi="Arial" w:hint="default"/>
      </w:rPr>
    </w:lvl>
    <w:lvl w:ilvl="6" w:tplc="1FD4690A" w:tentative="1">
      <w:start w:val="1"/>
      <w:numFmt w:val="bullet"/>
      <w:lvlText w:val="–"/>
      <w:lvlJc w:val="left"/>
      <w:pPr>
        <w:tabs>
          <w:tab w:val="num" w:pos="4964"/>
        </w:tabs>
        <w:ind w:left="4964" w:hanging="360"/>
      </w:pPr>
      <w:rPr>
        <w:rFonts w:ascii="Arial" w:hAnsi="Arial" w:hint="default"/>
      </w:rPr>
    </w:lvl>
    <w:lvl w:ilvl="7" w:tplc="1212AC28" w:tentative="1">
      <w:start w:val="1"/>
      <w:numFmt w:val="bullet"/>
      <w:lvlText w:val="–"/>
      <w:lvlJc w:val="left"/>
      <w:pPr>
        <w:tabs>
          <w:tab w:val="num" w:pos="5684"/>
        </w:tabs>
        <w:ind w:left="5684" w:hanging="360"/>
      </w:pPr>
      <w:rPr>
        <w:rFonts w:ascii="Arial" w:hAnsi="Arial" w:hint="default"/>
      </w:rPr>
    </w:lvl>
    <w:lvl w:ilvl="8" w:tplc="E7CC1A58" w:tentative="1">
      <w:start w:val="1"/>
      <w:numFmt w:val="bullet"/>
      <w:lvlText w:val="–"/>
      <w:lvlJc w:val="left"/>
      <w:pPr>
        <w:tabs>
          <w:tab w:val="num" w:pos="6404"/>
        </w:tabs>
        <w:ind w:left="6404" w:hanging="360"/>
      </w:pPr>
      <w:rPr>
        <w:rFonts w:ascii="Arial" w:hAnsi="Arial" w:hint="default"/>
      </w:rPr>
    </w:lvl>
  </w:abstractNum>
  <w:abstractNum w:abstractNumId="3">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4">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8AE6DF1"/>
    <w:multiLevelType w:val="hybridMultilevel"/>
    <w:tmpl w:val="5A666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A7231C"/>
    <w:multiLevelType w:val="hybridMultilevel"/>
    <w:tmpl w:val="2A9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1">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3">
    <w:nsid w:val="528A4BDE"/>
    <w:multiLevelType w:val="hybridMultilevel"/>
    <w:tmpl w:val="AF12B626"/>
    <w:lvl w:ilvl="0" w:tplc="FFFFFFFF">
      <w:start w:val="1"/>
      <w:numFmt w:val="bullet"/>
      <w:lvlText w:val="•"/>
      <w:lvlJc w:val="left"/>
      <w:pPr>
        <w:tabs>
          <w:tab w:val="num" w:pos="720"/>
        </w:tabs>
        <w:ind w:left="720" w:hanging="360"/>
      </w:pPr>
      <w:rPr>
        <w:rFonts w:ascii="Arial" w:hAnsi="Arial" w:hint="default"/>
      </w:rPr>
    </w:lvl>
    <w:lvl w:ilvl="1" w:tplc="FFFFFFFF">
      <w:start w:val="7712"/>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5">
    <w:nsid w:val="58D77C18"/>
    <w:multiLevelType w:val="multilevel"/>
    <w:tmpl w:val="FFFC16C4"/>
    <w:lvl w:ilvl="0">
      <w:start w:val="1"/>
      <w:numFmt w:val="decimal"/>
      <w:lvlText w:val="%1."/>
      <w:lvlJc w:val="left"/>
      <w:pPr>
        <w:ind w:left="360" w:hanging="360"/>
      </w:pPr>
    </w:lvl>
    <w:lvl w:ilvl="1">
      <w:start w:val="1"/>
      <w:numFmt w:val="decimal"/>
      <w:pStyle w:val="Heading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7">
    <w:nsid w:val="69B9327B"/>
    <w:multiLevelType w:val="hybridMultilevel"/>
    <w:tmpl w:val="B41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19">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0">
    <w:nsid w:val="6FEE491C"/>
    <w:multiLevelType w:val="hybridMultilevel"/>
    <w:tmpl w:val="648239BA"/>
    <w:lvl w:ilvl="0" w:tplc="213EA708">
      <w:start w:val="1"/>
      <w:numFmt w:val="decimal"/>
      <w:pStyle w:val="Heading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22">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20"/>
  </w:num>
  <w:num w:numId="4">
    <w:abstractNumId w:val="4"/>
  </w:num>
  <w:num w:numId="5">
    <w:abstractNumId w:val="5"/>
  </w:num>
  <w:num w:numId="6">
    <w:abstractNumId w:val="17"/>
  </w:num>
  <w:num w:numId="7">
    <w:abstractNumId w:val="7"/>
  </w:num>
  <w:num w:numId="8">
    <w:abstractNumId w:val="3"/>
  </w:num>
  <w:num w:numId="9">
    <w:abstractNumId w:val="12"/>
  </w:num>
  <w:num w:numId="10">
    <w:abstractNumId w:val="22"/>
  </w:num>
  <w:num w:numId="11">
    <w:abstractNumId w:val="6"/>
  </w:num>
  <w:num w:numId="12">
    <w:abstractNumId w:val="18"/>
  </w:num>
  <w:num w:numId="13">
    <w:abstractNumId w:val="21"/>
  </w:num>
  <w:num w:numId="14">
    <w:abstractNumId w:val="10"/>
  </w:num>
  <w:num w:numId="15">
    <w:abstractNumId w:val="16"/>
  </w:num>
  <w:num w:numId="16">
    <w:abstractNumId w:val="14"/>
  </w:num>
  <w:num w:numId="17">
    <w:abstractNumId w:val="9"/>
  </w:num>
  <w:num w:numId="18">
    <w:abstractNumId w:val="19"/>
  </w:num>
  <w:num w:numId="19">
    <w:abstractNumId w:val="2"/>
  </w:num>
  <w:num w:numId="20">
    <w:abstractNumId w:val="13"/>
  </w:num>
  <w:num w:numId="21">
    <w:abstractNumId w:val="1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0226">
      <v:textbox inset="5.85pt,.7pt,5.85pt,.7pt"/>
    </o:shapedefaults>
  </w:hdrShapeDefaults>
  <w:footnotePr>
    <w:numRestart w:val="eachSect"/>
    <w:footnote w:id="-1"/>
    <w:footnote w:id="0"/>
  </w:footnotePr>
  <w:endnotePr>
    <w:endnote w:id="-1"/>
    <w:endnote w:id="0"/>
  </w:endnotePr>
  <w:compat>
    <w:useFELayout/>
  </w:compat>
  <w:rsids>
    <w:rsidRoot w:val="00174C61"/>
    <w:rsid w:val="00000DA4"/>
    <w:rsid w:val="0000116E"/>
    <w:rsid w:val="00001BF0"/>
    <w:rsid w:val="00001C4C"/>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5C40"/>
    <w:rsid w:val="0002668B"/>
    <w:rsid w:val="00026CD4"/>
    <w:rsid w:val="00026F1B"/>
    <w:rsid w:val="000303E4"/>
    <w:rsid w:val="000314F2"/>
    <w:rsid w:val="000318BB"/>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46C69"/>
    <w:rsid w:val="000502DD"/>
    <w:rsid w:val="00050ACA"/>
    <w:rsid w:val="000514EA"/>
    <w:rsid w:val="00052A63"/>
    <w:rsid w:val="00052B2C"/>
    <w:rsid w:val="00052C0F"/>
    <w:rsid w:val="000538CC"/>
    <w:rsid w:val="00054C44"/>
    <w:rsid w:val="00054ED4"/>
    <w:rsid w:val="000555B2"/>
    <w:rsid w:val="000560E4"/>
    <w:rsid w:val="00056CBF"/>
    <w:rsid w:val="000575A1"/>
    <w:rsid w:val="000605EF"/>
    <w:rsid w:val="00061D2B"/>
    <w:rsid w:val="00061DA0"/>
    <w:rsid w:val="00062197"/>
    <w:rsid w:val="00063B2C"/>
    <w:rsid w:val="000648E4"/>
    <w:rsid w:val="00065827"/>
    <w:rsid w:val="00065D06"/>
    <w:rsid w:val="00066137"/>
    <w:rsid w:val="00066D5F"/>
    <w:rsid w:val="00067665"/>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390"/>
    <w:rsid w:val="0008389D"/>
    <w:rsid w:val="00084A0C"/>
    <w:rsid w:val="0008550B"/>
    <w:rsid w:val="000856C5"/>
    <w:rsid w:val="000859B2"/>
    <w:rsid w:val="00085C05"/>
    <w:rsid w:val="00086571"/>
    <w:rsid w:val="0008692E"/>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A7040"/>
    <w:rsid w:val="000B0254"/>
    <w:rsid w:val="000B0477"/>
    <w:rsid w:val="000B21A5"/>
    <w:rsid w:val="000B2540"/>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39C"/>
    <w:rsid w:val="000D2636"/>
    <w:rsid w:val="000D3B32"/>
    <w:rsid w:val="000D3D41"/>
    <w:rsid w:val="000D3FDE"/>
    <w:rsid w:val="000D44E3"/>
    <w:rsid w:val="000D6276"/>
    <w:rsid w:val="000D72BE"/>
    <w:rsid w:val="000D73FA"/>
    <w:rsid w:val="000E19DD"/>
    <w:rsid w:val="000E1C50"/>
    <w:rsid w:val="000E25C9"/>
    <w:rsid w:val="000E264F"/>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8CF"/>
    <w:rsid w:val="00107CAD"/>
    <w:rsid w:val="00107D72"/>
    <w:rsid w:val="00107F58"/>
    <w:rsid w:val="001100A3"/>
    <w:rsid w:val="0011058C"/>
    <w:rsid w:val="00111292"/>
    <w:rsid w:val="00111CF7"/>
    <w:rsid w:val="00112A79"/>
    <w:rsid w:val="00112C1A"/>
    <w:rsid w:val="00113B55"/>
    <w:rsid w:val="00113CA2"/>
    <w:rsid w:val="001167E2"/>
    <w:rsid w:val="0011747F"/>
    <w:rsid w:val="001206AA"/>
    <w:rsid w:val="00120E9B"/>
    <w:rsid w:val="0012119E"/>
    <w:rsid w:val="001211E1"/>
    <w:rsid w:val="0012223D"/>
    <w:rsid w:val="001239E6"/>
    <w:rsid w:val="001245DA"/>
    <w:rsid w:val="00125543"/>
    <w:rsid w:val="001257FC"/>
    <w:rsid w:val="00126A73"/>
    <w:rsid w:val="00126D72"/>
    <w:rsid w:val="00126F7F"/>
    <w:rsid w:val="00127616"/>
    <w:rsid w:val="00127BA7"/>
    <w:rsid w:val="00127C6B"/>
    <w:rsid w:val="0013006F"/>
    <w:rsid w:val="00130397"/>
    <w:rsid w:val="00130C4A"/>
    <w:rsid w:val="00131B4D"/>
    <w:rsid w:val="0013319A"/>
    <w:rsid w:val="001335CC"/>
    <w:rsid w:val="001336B3"/>
    <w:rsid w:val="0013394B"/>
    <w:rsid w:val="00133A6E"/>
    <w:rsid w:val="00133C5F"/>
    <w:rsid w:val="00134DA1"/>
    <w:rsid w:val="0013516E"/>
    <w:rsid w:val="00137A2D"/>
    <w:rsid w:val="001401A0"/>
    <w:rsid w:val="00140338"/>
    <w:rsid w:val="00140435"/>
    <w:rsid w:val="00140840"/>
    <w:rsid w:val="00140D03"/>
    <w:rsid w:val="00141571"/>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2555"/>
    <w:rsid w:val="0015259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71"/>
    <w:rsid w:val="001736D1"/>
    <w:rsid w:val="00174C61"/>
    <w:rsid w:val="001755B2"/>
    <w:rsid w:val="001774BB"/>
    <w:rsid w:val="00180E60"/>
    <w:rsid w:val="00181806"/>
    <w:rsid w:val="001821BC"/>
    <w:rsid w:val="00182D24"/>
    <w:rsid w:val="00183D2C"/>
    <w:rsid w:val="00184730"/>
    <w:rsid w:val="00184B73"/>
    <w:rsid w:val="00187C58"/>
    <w:rsid w:val="00187D7B"/>
    <w:rsid w:val="00190D82"/>
    <w:rsid w:val="00190DBD"/>
    <w:rsid w:val="00191019"/>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5BBC"/>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2EE1"/>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1F5E"/>
    <w:rsid w:val="001F3820"/>
    <w:rsid w:val="001F4FD5"/>
    <w:rsid w:val="001F56CD"/>
    <w:rsid w:val="001F6DD2"/>
    <w:rsid w:val="001F7386"/>
    <w:rsid w:val="00200DCD"/>
    <w:rsid w:val="00201273"/>
    <w:rsid w:val="00202106"/>
    <w:rsid w:val="00202226"/>
    <w:rsid w:val="002026F5"/>
    <w:rsid w:val="00203216"/>
    <w:rsid w:val="002040F0"/>
    <w:rsid w:val="002060FA"/>
    <w:rsid w:val="00206533"/>
    <w:rsid w:val="00207401"/>
    <w:rsid w:val="002103CB"/>
    <w:rsid w:val="002109D7"/>
    <w:rsid w:val="002111F2"/>
    <w:rsid w:val="00211B16"/>
    <w:rsid w:val="00212056"/>
    <w:rsid w:val="002122F0"/>
    <w:rsid w:val="002126FC"/>
    <w:rsid w:val="00212E9D"/>
    <w:rsid w:val="002134C9"/>
    <w:rsid w:val="0021363F"/>
    <w:rsid w:val="002136C8"/>
    <w:rsid w:val="00213C41"/>
    <w:rsid w:val="00213E49"/>
    <w:rsid w:val="00214676"/>
    <w:rsid w:val="002149B6"/>
    <w:rsid w:val="00214ABE"/>
    <w:rsid w:val="00215C13"/>
    <w:rsid w:val="00215FC8"/>
    <w:rsid w:val="002163F6"/>
    <w:rsid w:val="002164C9"/>
    <w:rsid w:val="00216E2F"/>
    <w:rsid w:val="00217D5C"/>
    <w:rsid w:val="00221176"/>
    <w:rsid w:val="002214D3"/>
    <w:rsid w:val="00221EC3"/>
    <w:rsid w:val="002225D8"/>
    <w:rsid w:val="0022293F"/>
    <w:rsid w:val="00222D33"/>
    <w:rsid w:val="00223E6F"/>
    <w:rsid w:val="00224AD8"/>
    <w:rsid w:val="00224B7A"/>
    <w:rsid w:val="00225658"/>
    <w:rsid w:val="00225803"/>
    <w:rsid w:val="00226F0A"/>
    <w:rsid w:val="00227558"/>
    <w:rsid w:val="00227CB5"/>
    <w:rsid w:val="00227E97"/>
    <w:rsid w:val="00230943"/>
    <w:rsid w:val="002312E0"/>
    <w:rsid w:val="00231A2F"/>
    <w:rsid w:val="00232217"/>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0F4"/>
    <w:rsid w:val="00241C12"/>
    <w:rsid w:val="00241C4F"/>
    <w:rsid w:val="00242974"/>
    <w:rsid w:val="00242EEB"/>
    <w:rsid w:val="00244455"/>
    <w:rsid w:val="00244A47"/>
    <w:rsid w:val="002509F5"/>
    <w:rsid w:val="002521A0"/>
    <w:rsid w:val="002525C9"/>
    <w:rsid w:val="00252E6B"/>
    <w:rsid w:val="0025309D"/>
    <w:rsid w:val="00254BF7"/>
    <w:rsid w:val="00254DB8"/>
    <w:rsid w:val="002553B3"/>
    <w:rsid w:val="00255424"/>
    <w:rsid w:val="00255AD8"/>
    <w:rsid w:val="00256928"/>
    <w:rsid w:val="00257083"/>
    <w:rsid w:val="002572A5"/>
    <w:rsid w:val="00260790"/>
    <w:rsid w:val="00261D11"/>
    <w:rsid w:val="00262018"/>
    <w:rsid w:val="00262C46"/>
    <w:rsid w:val="00262F12"/>
    <w:rsid w:val="00263119"/>
    <w:rsid w:val="00264FC7"/>
    <w:rsid w:val="002660F8"/>
    <w:rsid w:val="002664C8"/>
    <w:rsid w:val="002668A1"/>
    <w:rsid w:val="00270DAE"/>
    <w:rsid w:val="00270EF1"/>
    <w:rsid w:val="00271849"/>
    <w:rsid w:val="00272AFF"/>
    <w:rsid w:val="00272C1F"/>
    <w:rsid w:val="00273E95"/>
    <w:rsid w:val="00274A61"/>
    <w:rsid w:val="002751BF"/>
    <w:rsid w:val="002753B8"/>
    <w:rsid w:val="00277900"/>
    <w:rsid w:val="00281169"/>
    <w:rsid w:val="002811A1"/>
    <w:rsid w:val="002816BC"/>
    <w:rsid w:val="00281776"/>
    <w:rsid w:val="0028207F"/>
    <w:rsid w:val="00282754"/>
    <w:rsid w:val="00283143"/>
    <w:rsid w:val="002831C8"/>
    <w:rsid w:val="00285398"/>
    <w:rsid w:val="00285DB9"/>
    <w:rsid w:val="002860E0"/>
    <w:rsid w:val="00286797"/>
    <w:rsid w:val="00287689"/>
    <w:rsid w:val="00290E5E"/>
    <w:rsid w:val="00291BFC"/>
    <w:rsid w:val="00291F3E"/>
    <w:rsid w:val="0029797F"/>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B35"/>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953"/>
    <w:rsid w:val="002C7D00"/>
    <w:rsid w:val="002D010D"/>
    <w:rsid w:val="002D0399"/>
    <w:rsid w:val="002D0934"/>
    <w:rsid w:val="002D0AE4"/>
    <w:rsid w:val="002D1C53"/>
    <w:rsid w:val="002D1F9F"/>
    <w:rsid w:val="002D4081"/>
    <w:rsid w:val="002D5037"/>
    <w:rsid w:val="002D5122"/>
    <w:rsid w:val="002D51E6"/>
    <w:rsid w:val="002D543A"/>
    <w:rsid w:val="002D574B"/>
    <w:rsid w:val="002D5CB0"/>
    <w:rsid w:val="002D5DA1"/>
    <w:rsid w:val="002D5EED"/>
    <w:rsid w:val="002D61A8"/>
    <w:rsid w:val="002D6E51"/>
    <w:rsid w:val="002D7364"/>
    <w:rsid w:val="002D773F"/>
    <w:rsid w:val="002D77E2"/>
    <w:rsid w:val="002E0B88"/>
    <w:rsid w:val="002E1073"/>
    <w:rsid w:val="002E10F4"/>
    <w:rsid w:val="002E14B4"/>
    <w:rsid w:val="002E1AC7"/>
    <w:rsid w:val="002E2276"/>
    <w:rsid w:val="002E3FB7"/>
    <w:rsid w:val="002E4EC4"/>
    <w:rsid w:val="002E4F4A"/>
    <w:rsid w:val="002E4FB8"/>
    <w:rsid w:val="002E5210"/>
    <w:rsid w:val="002E569E"/>
    <w:rsid w:val="002E6216"/>
    <w:rsid w:val="002E623B"/>
    <w:rsid w:val="002E6C53"/>
    <w:rsid w:val="002F0BD5"/>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475B"/>
    <w:rsid w:val="003058B2"/>
    <w:rsid w:val="00306AF0"/>
    <w:rsid w:val="003077A7"/>
    <w:rsid w:val="00311C13"/>
    <w:rsid w:val="003121BE"/>
    <w:rsid w:val="00312CF5"/>
    <w:rsid w:val="00313ADB"/>
    <w:rsid w:val="00315161"/>
    <w:rsid w:val="00315510"/>
    <w:rsid w:val="00317434"/>
    <w:rsid w:val="00320783"/>
    <w:rsid w:val="00320EFA"/>
    <w:rsid w:val="0032176E"/>
    <w:rsid w:val="00321DB8"/>
    <w:rsid w:val="00322393"/>
    <w:rsid w:val="003237A3"/>
    <w:rsid w:val="00323D07"/>
    <w:rsid w:val="003243C8"/>
    <w:rsid w:val="00325EAA"/>
    <w:rsid w:val="003268A1"/>
    <w:rsid w:val="00326D62"/>
    <w:rsid w:val="00327ADA"/>
    <w:rsid w:val="00327F13"/>
    <w:rsid w:val="00330DCC"/>
    <w:rsid w:val="00331C97"/>
    <w:rsid w:val="00331DCA"/>
    <w:rsid w:val="0033236B"/>
    <w:rsid w:val="00332962"/>
    <w:rsid w:val="00332F57"/>
    <w:rsid w:val="00333811"/>
    <w:rsid w:val="00334A69"/>
    <w:rsid w:val="00334D40"/>
    <w:rsid w:val="00336383"/>
    <w:rsid w:val="003367F6"/>
    <w:rsid w:val="00336C5B"/>
    <w:rsid w:val="0034226F"/>
    <w:rsid w:val="00342659"/>
    <w:rsid w:val="0034329A"/>
    <w:rsid w:val="00343326"/>
    <w:rsid w:val="00343C09"/>
    <w:rsid w:val="003451DB"/>
    <w:rsid w:val="00345354"/>
    <w:rsid w:val="003453A6"/>
    <w:rsid w:val="003467BC"/>
    <w:rsid w:val="00346975"/>
    <w:rsid w:val="00346CC0"/>
    <w:rsid w:val="00346E5D"/>
    <w:rsid w:val="003500F1"/>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854"/>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CDF"/>
    <w:rsid w:val="003864C0"/>
    <w:rsid w:val="00386D9C"/>
    <w:rsid w:val="00390EB1"/>
    <w:rsid w:val="00391AEB"/>
    <w:rsid w:val="00392EBA"/>
    <w:rsid w:val="00393320"/>
    <w:rsid w:val="00393840"/>
    <w:rsid w:val="00393BEC"/>
    <w:rsid w:val="00396B26"/>
    <w:rsid w:val="003A0BAD"/>
    <w:rsid w:val="003A0CF1"/>
    <w:rsid w:val="003A32DE"/>
    <w:rsid w:val="003A3607"/>
    <w:rsid w:val="003A3F19"/>
    <w:rsid w:val="003A43B0"/>
    <w:rsid w:val="003A4BFE"/>
    <w:rsid w:val="003A601E"/>
    <w:rsid w:val="003A6561"/>
    <w:rsid w:val="003A66FA"/>
    <w:rsid w:val="003A7272"/>
    <w:rsid w:val="003A7556"/>
    <w:rsid w:val="003A7FCF"/>
    <w:rsid w:val="003B0AD8"/>
    <w:rsid w:val="003B0EB6"/>
    <w:rsid w:val="003B1F5A"/>
    <w:rsid w:val="003B2359"/>
    <w:rsid w:val="003B2486"/>
    <w:rsid w:val="003B2A8D"/>
    <w:rsid w:val="003B455E"/>
    <w:rsid w:val="003B4F14"/>
    <w:rsid w:val="003B5766"/>
    <w:rsid w:val="003B6059"/>
    <w:rsid w:val="003B60D0"/>
    <w:rsid w:val="003B62BC"/>
    <w:rsid w:val="003B6C53"/>
    <w:rsid w:val="003C1159"/>
    <w:rsid w:val="003C1493"/>
    <w:rsid w:val="003C25A8"/>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3BB"/>
    <w:rsid w:val="003E0D19"/>
    <w:rsid w:val="003E1000"/>
    <w:rsid w:val="003E1730"/>
    <w:rsid w:val="003E273E"/>
    <w:rsid w:val="003E28D7"/>
    <w:rsid w:val="003E3EC0"/>
    <w:rsid w:val="003E49DE"/>
    <w:rsid w:val="003E4D42"/>
    <w:rsid w:val="003E5186"/>
    <w:rsid w:val="003E5480"/>
    <w:rsid w:val="003E6F85"/>
    <w:rsid w:val="003E7874"/>
    <w:rsid w:val="003E7D91"/>
    <w:rsid w:val="003E7E7C"/>
    <w:rsid w:val="003F0C32"/>
    <w:rsid w:val="003F1B94"/>
    <w:rsid w:val="003F253B"/>
    <w:rsid w:val="003F254D"/>
    <w:rsid w:val="003F289F"/>
    <w:rsid w:val="003F419A"/>
    <w:rsid w:val="003F619C"/>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2C3B"/>
    <w:rsid w:val="00413D1F"/>
    <w:rsid w:val="00414EDC"/>
    <w:rsid w:val="004154C2"/>
    <w:rsid w:val="00415673"/>
    <w:rsid w:val="00416AC2"/>
    <w:rsid w:val="00416DBF"/>
    <w:rsid w:val="00417293"/>
    <w:rsid w:val="004206E9"/>
    <w:rsid w:val="00420C86"/>
    <w:rsid w:val="0042143B"/>
    <w:rsid w:val="00421922"/>
    <w:rsid w:val="004224CF"/>
    <w:rsid w:val="0042270A"/>
    <w:rsid w:val="00422CBD"/>
    <w:rsid w:val="00423402"/>
    <w:rsid w:val="00424DB1"/>
    <w:rsid w:val="004263AD"/>
    <w:rsid w:val="0042674B"/>
    <w:rsid w:val="00426764"/>
    <w:rsid w:val="00426906"/>
    <w:rsid w:val="0042787C"/>
    <w:rsid w:val="00427B59"/>
    <w:rsid w:val="004318EB"/>
    <w:rsid w:val="00432160"/>
    <w:rsid w:val="00432D1E"/>
    <w:rsid w:val="00434494"/>
    <w:rsid w:val="0043487D"/>
    <w:rsid w:val="004349F2"/>
    <w:rsid w:val="00434FFC"/>
    <w:rsid w:val="00435176"/>
    <w:rsid w:val="00436E45"/>
    <w:rsid w:val="004403B9"/>
    <w:rsid w:val="004405A8"/>
    <w:rsid w:val="00440AE7"/>
    <w:rsid w:val="00441335"/>
    <w:rsid w:val="00441B98"/>
    <w:rsid w:val="004430BF"/>
    <w:rsid w:val="00444DEC"/>
    <w:rsid w:val="004452A2"/>
    <w:rsid w:val="004503DF"/>
    <w:rsid w:val="0045099B"/>
    <w:rsid w:val="00450A6F"/>
    <w:rsid w:val="00452197"/>
    <w:rsid w:val="004525F4"/>
    <w:rsid w:val="00452C3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3950"/>
    <w:rsid w:val="004750A0"/>
    <w:rsid w:val="00475E97"/>
    <w:rsid w:val="0047757F"/>
    <w:rsid w:val="00477748"/>
    <w:rsid w:val="00477D8D"/>
    <w:rsid w:val="00480CC3"/>
    <w:rsid w:val="00480F04"/>
    <w:rsid w:val="00481812"/>
    <w:rsid w:val="0048242A"/>
    <w:rsid w:val="004825BE"/>
    <w:rsid w:val="0048285B"/>
    <w:rsid w:val="004830FC"/>
    <w:rsid w:val="00483704"/>
    <w:rsid w:val="004844EF"/>
    <w:rsid w:val="00484661"/>
    <w:rsid w:val="00484E0A"/>
    <w:rsid w:val="0048519B"/>
    <w:rsid w:val="00485D0C"/>
    <w:rsid w:val="00485D8A"/>
    <w:rsid w:val="00485FFC"/>
    <w:rsid w:val="00486309"/>
    <w:rsid w:val="0048764B"/>
    <w:rsid w:val="00487870"/>
    <w:rsid w:val="0048792F"/>
    <w:rsid w:val="00487B15"/>
    <w:rsid w:val="004902B0"/>
    <w:rsid w:val="00490EDF"/>
    <w:rsid w:val="00491505"/>
    <w:rsid w:val="00491CE9"/>
    <w:rsid w:val="004920DA"/>
    <w:rsid w:val="00492168"/>
    <w:rsid w:val="004935B1"/>
    <w:rsid w:val="004945D0"/>
    <w:rsid w:val="00496008"/>
    <w:rsid w:val="0049601C"/>
    <w:rsid w:val="00497D69"/>
    <w:rsid w:val="00497F17"/>
    <w:rsid w:val="004A0F42"/>
    <w:rsid w:val="004A12FB"/>
    <w:rsid w:val="004A1E59"/>
    <w:rsid w:val="004A24D4"/>
    <w:rsid w:val="004A5941"/>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666"/>
    <w:rsid w:val="004C5D8C"/>
    <w:rsid w:val="004C61A7"/>
    <w:rsid w:val="004C6418"/>
    <w:rsid w:val="004C76C5"/>
    <w:rsid w:val="004D014A"/>
    <w:rsid w:val="004D021F"/>
    <w:rsid w:val="004D0565"/>
    <w:rsid w:val="004D0971"/>
    <w:rsid w:val="004D140A"/>
    <w:rsid w:val="004D240A"/>
    <w:rsid w:val="004D2628"/>
    <w:rsid w:val="004D3619"/>
    <w:rsid w:val="004D38B8"/>
    <w:rsid w:val="004D3A55"/>
    <w:rsid w:val="004D4122"/>
    <w:rsid w:val="004D4950"/>
    <w:rsid w:val="004D5452"/>
    <w:rsid w:val="004D56CE"/>
    <w:rsid w:val="004D680C"/>
    <w:rsid w:val="004D6C2E"/>
    <w:rsid w:val="004D6F6C"/>
    <w:rsid w:val="004D718D"/>
    <w:rsid w:val="004D7753"/>
    <w:rsid w:val="004E022E"/>
    <w:rsid w:val="004E1837"/>
    <w:rsid w:val="004E203F"/>
    <w:rsid w:val="004E28A5"/>
    <w:rsid w:val="004E352E"/>
    <w:rsid w:val="004E3CFE"/>
    <w:rsid w:val="004E3D5D"/>
    <w:rsid w:val="004E453A"/>
    <w:rsid w:val="004E4916"/>
    <w:rsid w:val="004E4D81"/>
    <w:rsid w:val="004E5241"/>
    <w:rsid w:val="004E578E"/>
    <w:rsid w:val="004E58D9"/>
    <w:rsid w:val="004E688F"/>
    <w:rsid w:val="004E7310"/>
    <w:rsid w:val="004F02C8"/>
    <w:rsid w:val="004F0454"/>
    <w:rsid w:val="004F0473"/>
    <w:rsid w:val="004F0598"/>
    <w:rsid w:val="004F1FAB"/>
    <w:rsid w:val="004F2A62"/>
    <w:rsid w:val="004F3865"/>
    <w:rsid w:val="004F545D"/>
    <w:rsid w:val="004F5786"/>
    <w:rsid w:val="004F5EEC"/>
    <w:rsid w:val="004F657F"/>
    <w:rsid w:val="004F668B"/>
    <w:rsid w:val="004F7531"/>
    <w:rsid w:val="004F79D6"/>
    <w:rsid w:val="0050044C"/>
    <w:rsid w:val="00500A64"/>
    <w:rsid w:val="00501B4F"/>
    <w:rsid w:val="00501FBC"/>
    <w:rsid w:val="005027DA"/>
    <w:rsid w:val="00502AC2"/>
    <w:rsid w:val="005047D3"/>
    <w:rsid w:val="005062D6"/>
    <w:rsid w:val="00506A42"/>
    <w:rsid w:val="00506F07"/>
    <w:rsid w:val="005076CF"/>
    <w:rsid w:val="005077ED"/>
    <w:rsid w:val="00510175"/>
    <w:rsid w:val="00511EB4"/>
    <w:rsid w:val="00511F3A"/>
    <w:rsid w:val="0051211F"/>
    <w:rsid w:val="00512DCC"/>
    <w:rsid w:val="0051366C"/>
    <w:rsid w:val="00513B64"/>
    <w:rsid w:val="00514072"/>
    <w:rsid w:val="00514183"/>
    <w:rsid w:val="00515354"/>
    <w:rsid w:val="005158F8"/>
    <w:rsid w:val="00515D28"/>
    <w:rsid w:val="005160DD"/>
    <w:rsid w:val="005170C5"/>
    <w:rsid w:val="0051752B"/>
    <w:rsid w:val="005175AA"/>
    <w:rsid w:val="00520109"/>
    <w:rsid w:val="00521EE9"/>
    <w:rsid w:val="005227F7"/>
    <w:rsid w:val="005263CD"/>
    <w:rsid w:val="0052666E"/>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4B9"/>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1A12"/>
    <w:rsid w:val="00552214"/>
    <w:rsid w:val="00552B18"/>
    <w:rsid w:val="00552C12"/>
    <w:rsid w:val="0055306D"/>
    <w:rsid w:val="00553402"/>
    <w:rsid w:val="00553592"/>
    <w:rsid w:val="00553594"/>
    <w:rsid w:val="00553BDF"/>
    <w:rsid w:val="00553D85"/>
    <w:rsid w:val="00554827"/>
    <w:rsid w:val="00554AA1"/>
    <w:rsid w:val="00555C96"/>
    <w:rsid w:val="00555FA2"/>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0A14"/>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DE5"/>
    <w:rsid w:val="00582E65"/>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68BB"/>
    <w:rsid w:val="0059752F"/>
    <w:rsid w:val="0059777B"/>
    <w:rsid w:val="00597D30"/>
    <w:rsid w:val="005A0029"/>
    <w:rsid w:val="005A0ED9"/>
    <w:rsid w:val="005A1BFC"/>
    <w:rsid w:val="005A1D0B"/>
    <w:rsid w:val="005A21E7"/>
    <w:rsid w:val="005A21F5"/>
    <w:rsid w:val="005A25E4"/>
    <w:rsid w:val="005A2B49"/>
    <w:rsid w:val="005A33D0"/>
    <w:rsid w:val="005A3B3F"/>
    <w:rsid w:val="005A3DAE"/>
    <w:rsid w:val="005A4687"/>
    <w:rsid w:val="005A5440"/>
    <w:rsid w:val="005A5455"/>
    <w:rsid w:val="005A5A3D"/>
    <w:rsid w:val="005A5F61"/>
    <w:rsid w:val="005A6F5B"/>
    <w:rsid w:val="005A7261"/>
    <w:rsid w:val="005A7410"/>
    <w:rsid w:val="005B0791"/>
    <w:rsid w:val="005B23B5"/>
    <w:rsid w:val="005B2475"/>
    <w:rsid w:val="005B2B85"/>
    <w:rsid w:val="005B2DD3"/>
    <w:rsid w:val="005B466A"/>
    <w:rsid w:val="005B4869"/>
    <w:rsid w:val="005B49B3"/>
    <w:rsid w:val="005B4CDC"/>
    <w:rsid w:val="005B6034"/>
    <w:rsid w:val="005B61A8"/>
    <w:rsid w:val="005B65C6"/>
    <w:rsid w:val="005B714A"/>
    <w:rsid w:val="005C0BA2"/>
    <w:rsid w:val="005C0F64"/>
    <w:rsid w:val="005C15D4"/>
    <w:rsid w:val="005C1C21"/>
    <w:rsid w:val="005C2573"/>
    <w:rsid w:val="005C288D"/>
    <w:rsid w:val="005C2B3D"/>
    <w:rsid w:val="005C3270"/>
    <w:rsid w:val="005C52C9"/>
    <w:rsid w:val="005C60FE"/>
    <w:rsid w:val="005C6B06"/>
    <w:rsid w:val="005C727E"/>
    <w:rsid w:val="005C7470"/>
    <w:rsid w:val="005C7C3C"/>
    <w:rsid w:val="005D0193"/>
    <w:rsid w:val="005D0279"/>
    <w:rsid w:val="005D0C91"/>
    <w:rsid w:val="005D0CC5"/>
    <w:rsid w:val="005D12C3"/>
    <w:rsid w:val="005D365A"/>
    <w:rsid w:val="005D50B6"/>
    <w:rsid w:val="005D6185"/>
    <w:rsid w:val="005D61C1"/>
    <w:rsid w:val="005D6278"/>
    <w:rsid w:val="005D7983"/>
    <w:rsid w:val="005D7BE6"/>
    <w:rsid w:val="005D7D0B"/>
    <w:rsid w:val="005D7F29"/>
    <w:rsid w:val="005E04AA"/>
    <w:rsid w:val="005E072E"/>
    <w:rsid w:val="005E0861"/>
    <w:rsid w:val="005E0B28"/>
    <w:rsid w:val="005E0EB6"/>
    <w:rsid w:val="005E1489"/>
    <w:rsid w:val="005E2DC6"/>
    <w:rsid w:val="005E47CE"/>
    <w:rsid w:val="005E6811"/>
    <w:rsid w:val="005E6EF9"/>
    <w:rsid w:val="005E76A7"/>
    <w:rsid w:val="005E7A57"/>
    <w:rsid w:val="005F0778"/>
    <w:rsid w:val="005F0E55"/>
    <w:rsid w:val="005F2765"/>
    <w:rsid w:val="005F46DA"/>
    <w:rsid w:val="005F48F8"/>
    <w:rsid w:val="005F5D64"/>
    <w:rsid w:val="005F5DAD"/>
    <w:rsid w:val="005F6185"/>
    <w:rsid w:val="005F6853"/>
    <w:rsid w:val="005F6C81"/>
    <w:rsid w:val="005F72BB"/>
    <w:rsid w:val="005F76FE"/>
    <w:rsid w:val="0060057B"/>
    <w:rsid w:val="00601827"/>
    <w:rsid w:val="00601A6A"/>
    <w:rsid w:val="00601F42"/>
    <w:rsid w:val="00604F13"/>
    <w:rsid w:val="006050A3"/>
    <w:rsid w:val="00605E5D"/>
    <w:rsid w:val="006060C6"/>
    <w:rsid w:val="00606128"/>
    <w:rsid w:val="006064E5"/>
    <w:rsid w:val="00606BF8"/>
    <w:rsid w:val="006078D8"/>
    <w:rsid w:val="00610E1D"/>
    <w:rsid w:val="00611AF0"/>
    <w:rsid w:val="006132F4"/>
    <w:rsid w:val="00615316"/>
    <w:rsid w:val="006153C7"/>
    <w:rsid w:val="00615950"/>
    <w:rsid w:val="00616DB6"/>
    <w:rsid w:val="00617EC8"/>
    <w:rsid w:val="006203F1"/>
    <w:rsid w:val="0062074A"/>
    <w:rsid w:val="00620C29"/>
    <w:rsid w:val="00620E21"/>
    <w:rsid w:val="00621BA9"/>
    <w:rsid w:val="00622D2C"/>
    <w:rsid w:val="00624C4F"/>
    <w:rsid w:val="00625025"/>
    <w:rsid w:val="0062539B"/>
    <w:rsid w:val="00625557"/>
    <w:rsid w:val="00625E7B"/>
    <w:rsid w:val="0062698A"/>
    <w:rsid w:val="00627755"/>
    <w:rsid w:val="00627D37"/>
    <w:rsid w:val="0063028C"/>
    <w:rsid w:val="00630A24"/>
    <w:rsid w:val="00632836"/>
    <w:rsid w:val="006333C1"/>
    <w:rsid w:val="00633905"/>
    <w:rsid w:val="00633A68"/>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46C55"/>
    <w:rsid w:val="006509B1"/>
    <w:rsid w:val="00650A29"/>
    <w:rsid w:val="0065143B"/>
    <w:rsid w:val="00652C05"/>
    <w:rsid w:val="00652F79"/>
    <w:rsid w:val="006532CF"/>
    <w:rsid w:val="00653BE5"/>
    <w:rsid w:val="00653E88"/>
    <w:rsid w:val="006542F6"/>
    <w:rsid w:val="00655C05"/>
    <w:rsid w:val="006563F3"/>
    <w:rsid w:val="00657A14"/>
    <w:rsid w:val="0066031B"/>
    <w:rsid w:val="006610EF"/>
    <w:rsid w:val="00661520"/>
    <w:rsid w:val="00661A5E"/>
    <w:rsid w:val="00662904"/>
    <w:rsid w:val="00663835"/>
    <w:rsid w:val="006639A2"/>
    <w:rsid w:val="00664333"/>
    <w:rsid w:val="00664410"/>
    <w:rsid w:val="006646CC"/>
    <w:rsid w:val="006647D6"/>
    <w:rsid w:val="00665200"/>
    <w:rsid w:val="00665406"/>
    <w:rsid w:val="00665F1C"/>
    <w:rsid w:val="006663B5"/>
    <w:rsid w:val="0066736A"/>
    <w:rsid w:val="006676FB"/>
    <w:rsid w:val="00667C57"/>
    <w:rsid w:val="00670033"/>
    <w:rsid w:val="00670678"/>
    <w:rsid w:val="006708CF"/>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5303"/>
    <w:rsid w:val="006A6245"/>
    <w:rsid w:val="006A7BA6"/>
    <w:rsid w:val="006B06CD"/>
    <w:rsid w:val="006B0717"/>
    <w:rsid w:val="006B0737"/>
    <w:rsid w:val="006B0B2B"/>
    <w:rsid w:val="006B11A5"/>
    <w:rsid w:val="006B1CBA"/>
    <w:rsid w:val="006B1D2B"/>
    <w:rsid w:val="006B2DBE"/>
    <w:rsid w:val="006B445A"/>
    <w:rsid w:val="006B458E"/>
    <w:rsid w:val="006B476A"/>
    <w:rsid w:val="006B4C70"/>
    <w:rsid w:val="006B4D1B"/>
    <w:rsid w:val="006B55AD"/>
    <w:rsid w:val="006B56D6"/>
    <w:rsid w:val="006B5BFA"/>
    <w:rsid w:val="006B6528"/>
    <w:rsid w:val="006B6763"/>
    <w:rsid w:val="006C0F0C"/>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A71"/>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2C34"/>
    <w:rsid w:val="007037A6"/>
    <w:rsid w:val="00703867"/>
    <w:rsid w:val="00704EE7"/>
    <w:rsid w:val="00706009"/>
    <w:rsid w:val="007065E3"/>
    <w:rsid w:val="007072E5"/>
    <w:rsid w:val="00707C8A"/>
    <w:rsid w:val="00710ACB"/>
    <w:rsid w:val="00711B24"/>
    <w:rsid w:val="00712D93"/>
    <w:rsid w:val="00712E28"/>
    <w:rsid w:val="007140A3"/>
    <w:rsid w:val="007143E6"/>
    <w:rsid w:val="00715511"/>
    <w:rsid w:val="00715F25"/>
    <w:rsid w:val="0071628B"/>
    <w:rsid w:val="007162C0"/>
    <w:rsid w:val="00717D35"/>
    <w:rsid w:val="0072107C"/>
    <w:rsid w:val="00721E15"/>
    <w:rsid w:val="00722B46"/>
    <w:rsid w:val="007237EC"/>
    <w:rsid w:val="00724138"/>
    <w:rsid w:val="00724321"/>
    <w:rsid w:val="00724965"/>
    <w:rsid w:val="00724EE9"/>
    <w:rsid w:val="00724EEE"/>
    <w:rsid w:val="0072530D"/>
    <w:rsid w:val="0072752A"/>
    <w:rsid w:val="00727613"/>
    <w:rsid w:val="007277FF"/>
    <w:rsid w:val="00727F01"/>
    <w:rsid w:val="00730195"/>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CF2"/>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34C"/>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30"/>
    <w:rsid w:val="00794FAF"/>
    <w:rsid w:val="00795D16"/>
    <w:rsid w:val="00795FF1"/>
    <w:rsid w:val="00796479"/>
    <w:rsid w:val="007964BD"/>
    <w:rsid w:val="00796D2A"/>
    <w:rsid w:val="007970D4"/>
    <w:rsid w:val="007A14EE"/>
    <w:rsid w:val="007A1526"/>
    <w:rsid w:val="007A25E8"/>
    <w:rsid w:val="007A2CEB"/>
    <w:rsid w:val="007A2F92"/>
    <w:rsid w:val="007A38EB"/>
    <w:rsid w:val="007A420D"/>
    <w:rsid w:val="007A426D"/>
    <w:rsid w:val="007A52F4"/>
    <w:rsid w:val="007A55A4"/>
    <w:rsid w:val="007A5908"/>
    <w:rsid w:val="007A6061"/>
    <w:rsid w:val="007B0070"/>
    <w:rsid w:val="007B0FEF"/>
    <w:rsid w:val="007B1102"/>
    <w:rsid w:val="007B11E6"/>
    <w:rsid w:val="007B18B4"/>
    <w:rsid w:val="007B2908"/>
    <w:rsid w:val="007B2B2C"/>
    <w:rsid w:val="007B3F45"/>
    <w:rsid w:val="007B4109"/>
    <w:rsid w:val="007B4F35"/>
    <w:rsid w:val="007B54BF"/>
    <w:rsid w:val="007B5534"/>
    <w:rsid w:val="007B5A08"/>
    <w:rsid w:val="007B5A89"/>
    <w:rsid w:val="007B6281"/>
    <w:rsid w:val="007B62F5"/>
    <w:rsid w:val="007B6FF1"/>
    <w:rsid w:val="007B736B"/>
    <w:rsid w:val="007B7817"/>
    <w:rsid w:val="007B7A28"/>
    <w:rsid w:val="007C0C4B"/>
    <w:rsid w:val="007C0CB7"/>
    <w:rsid w:val="007C0EE2"/>
    <w:rsid w:val="007C1A72"/>
    <w:rsid w:val="007C26B3"/>
    <w:rsid w:val="007C3FBD"/>
    <w:rsid w:val="007C512A"/>
    <w:rsid w:val="007C5B5C"/>
    <w:rsid w:val="007C6260"/>
    <w:rsid w:val="007C779E"/>
    <w:rsid w:val="007C7866"/>
    <w:rsid w:val="007C7B25"/>
    <w:rsid w:val="007D04F1"/>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E7E0D"/>
    <w:rsid w:val="007F08B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0F84"/>
    <w:rsid w:val="00802373"/>
    <w:rsid w:val="00802784"/>
    <w:rsid w:val="00802B4E"/>
    <w:rsid w:val="00803F71"/>
    <w:rsid w:val="008042F5"/>
    <w:rsid w:val="008047DB"/>
    <w:rsid w:val="0080613C"/>
    <w:rsid w:val="0080622A"/>
    <w:rsid w:val="00807224"/>
    <w:rsid w:val="00807FEC"/>
    <w:rsid w:val="00810169"/>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0C0"/>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5AE"/>
    <w:rsid w:val="00872CC7"/>
    <w:rsid w:val="00872D99"/>
    <w:rsid w:val="0087449D"/>
    <w:rsid w:val="008745EA"/>
    <w:rsid w:val="00874C84"/>
    <w:rsid w:val="00875755"/>
    <w:rsid w:val="00876556"/>
    <w:rsid w:val="00876601"/>
    <w:rsid w:val="0087771A"/>
    <w:rsid w:val="00877C94"/>
    <w:rsid w:val="008805E8"/>
    <w:rsid w:val="00880AAD"/>
    <w:rsid w:val="00882EEC"/>
    <w:rsid w:val="00883A6D"/>
    <w:rsid w:val="00883AA5"/>
    <w:rsid w:val="008845EF"/>
    <w:rsid w:val="00884857"/>
    <w:rsid w:val="008875E8"/>
    <w:rsid w:val="00890949"/>
    <w:rsid w:val="00891094"/>
    <w:rsid w:val="0089161F"/>
    <w:rsid w:val="00891A24"/>
    <w:rsid w:val="00892803"/>
    <w:rsid w:val="00892D6A"/>
    <w:rsid w:val="00893601"/>
    <w:rsid w:val="00893901"/>
    <w:rsid w:val="00893A7E"/>
    <w:rsid w:val="00894025"/>
    <w:rsid w:val="00894148"/>
    <w:rsid w:val="008955DA"/>
    <w:rsid w:val="00895BF4"/>
    <w:rsid w:val="00896E63"/>
    <w:rsid w:val="008A064D"/>
    <w:rsid w:val="008A0B72"/>
    <w:rsid w:val="008A1788"/>
    <w:rsid w:val="008A193B"/>
    <w:rsid w:val="008A1A41"/>
    <w:rsid w:val="008A1A79"/>
    <w:rsid w:val="008A1C2D"/>
    <w:rsid w:val="008A292D"/>
    <w:rsid w:val="008A3E45"/>
    <w:rsid w:val="008A5382"/>
    <w:rsid w:val="008A5816"/>
    <w:rsid w:val="008A6F5B"/>
    <w:rsid w:val="008A71F1"/>
    <w:rsid w:val="008B0487"/>
    <w:rsid w:val="008B04B7"/>
    <w:rsid w:val="008B1003"/>
    <w:rsid w:val="008B2CC7"/>
    <w:rsid w:val="008B2D42"/>
    <w:rsid w:val="008B5579"/>
    <w:rsid w:val="008B5E2C"/>
    <w:rsid w:val="008B6355"/>
    <w:rsid w:val="008B65A9"/>
    <w:rsid w:val="008B720A"/>
    <w:rsid w:val="008B7B72"/>
    <w:rsid w:val="008C01FA"/>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025"/>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39"/>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57CD"/>
    <w:rsid w:val="0091604B"/>
    <w:rsid w:val="00917932"/>
    <w:rsid w:val="00917C91"/>
    <w:rsid w:val="00920D83"/>
    <w:rsid w:val="0092276C"/>
    <w:rsid w:val="0092553E"/>
    <w:rsid w:val="009255F7"/>
    <w:rsid w:val="009258DA"/>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43B"/>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FFC"/>
    <w:rsid w:val="00966184"/>
    <w:rsid w:val="00967920"/>
    <w:rsid w:val="00967F52"/>
    <w:rsid w:val="0097027A"/>
    <w:rsid w:val="00970619"/>
    <w:rsid w:val="00970851"/>
    <w:rsid w:val="009709EF"/>
    <w:rsid w:val="00970ECC"/>
    <w:rsid w:val="009734AD"/>
    <w:rsid w:val="00973D3B"/>
    <w:rsid w:val="00975096"/>
    <w:rsid w:val="00975110"/>
    <w:rsid w:val="009752EC"/>
    <w:rsid w:val="0097577C"/>
    <w:rsid w:val="00975EB8"/>
    <w:rsid w:val="00976A93"/>
    <w:rsid w:val="00977FA3"/>
    <w:rsid w:val="00980A6A"/>
    <w:rsid w:val="00980E36"/>
    <w:rsid w:val="00980FA9"/>
    <w:rsid w:val="009821B3"/>
    <w:rsid w:val="009824BF"/>
    <w:rsid w:val="009828F8"/>
    <w:rsid w:val="00982B07"/>
    <w:rsid w:val="00982B35"/>
    <w:rsid w:val="009832FE"/>
    <w:rsid w:val="00984043"/>
    <w:rsid w:val="009842B7"/>
    <w:rsid w:val="00984F34"/>
    <w:rsid w:val="00985CD2"/>
    <w:rsid w:val="00985E35"/>
    <w:rsid w:val="00986961"/>
    <w:rsid w:val="009875AA"/>
    <w:rsid w:val="0098761C"/>
    <w:rsid w:val="0099078F"/>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0869"/>
    <w:rsid w:val="009A1B8A"/>
    <w:rsid w:val="009A21AE"/>
    <w:rsid w:val="009A3B8C"/>
    <w:rsid w:val="009A452E"/>
    <w:rsid w:val="009A45D7"/>
    <w:rsid w:val="009A48A6"/>
    <w:rsid w:val="009A5C46"/>
    <w:rsid w:val="009A5CEC"/>
    <w:rsid w:val="009A682F"/>
    <w:rsid w:val="009A7AD3"/>
    <w:rsid w:val="009A7D38"/>
    <w:rsid w:val="009B11B8"/>
    <w:rsid w:val="009B1264"/>
    <w:rsid w:val="009B1FCB"/>
    <w:rsid w:val="009B2340"/>
    <w:rsid w:val="009B28C9"/>
    <w:rsid w:val="009B2AC2"/>
    <w:rsid w:val="009B37C1"/>
    <w:rsid w:val="009B3EE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3DCD"/>
    <w:rsid w:val="009D4DB9"/>
    <w:rsid w:val="009D4DBF"/>
    <w:rsid w:val="009D6032"/>
    <w:rsid w:val="009D60A4"/>
    <w:rsid w:val="009D6319"/>
    <w:rsid w:val="009D69AD"/>
    <w:rsid w:val="009E049C"/>
    <w:rsid w:val="009E0D8F"/>
    <w:rsid w:val="009E1BA7"/>
    <w:rsid w:val="009E2526"/>
    <w:rsid w:val="009E26AB"/>
    <w:rsid w:val="009E28DE"/>
    <w:rsid w:val="009E2BD6"/>
    <w:rsid w:val="009E44DB"/>
    <w:rsid w:val="009E4578"/>
    <w:rsid w:val="009E5733"/>
    <w:rsid w:val="009E6055"/>
    <w:rsid w:val="009E70CB"/>
    <w:rsid w:val="009F0202"/>
    <w:rsid w:val="009F1C34"/>
    <w:rsid w:val="009F3358"/>
    <w:rsid w:val="009F3B53"/>
    <w:rsid w:val="009F3C95"/>
    <w:rsid w:val="009F46AD"/>
    <w:rsid w:val="009F676A"/>
    <w:rsid w:val="009F6E3C"/>
    <w:rsid w:val="009F7342"/>
    <w:rsid w:val="00A00952"/>
    <w:rsid w:val="00A0214F"/>
    <w:rsid w:val="00A0632E"/>
    <w:rsid w:val="00A1002D"/>
    <w:rsid w:val="00A11621"/>
    <w:rsid w:val="00A11922"/>
    <w:rsid w:val="00A12DD4"/>
    <w:rsid w:val="00A136A1"/>
    <w:rsid w:val="00A16017"/>
    <w:rsid w:val="00A16575"/>
    <w:rsid w:val="00A16746"/>
    <w:rsid w:val="00A16BB2"/>
    <w:rsid w:val="00A17067"/>
    <w:rsid w:val="00A17B9A"/>
    <w:rsid w:val="00A21B27"/>
    <w:rsid w:val="00A22296"/>
    <w:rsid w:val="00A22700"/>
    <w:rsid w:val="00A22DA1"/>
    <w:rsid w:val="00A22E85"/>
    <w:rsid w:val="00A23709"/>
    <w:rsid w:val="00A24642"/>
    <w:rsid w:val="00A2566D"/>
    <w:rsid w:val="00A26072"/>
    <w:rsid w:val="00A26E4F"/>
    <w:rsid w:val="00A274EA"/>
    <w:rsid w:val="00A30AF9"/>
    <w:rsid w:val="00A30BD0"/>
    <w:rsid w:val="00A31EB3"/>
    <w:rsid w:val="00A32BC5"/>
    <w:rsid w:val="00A32CAD"/>
    <w:rsid w:val="00A3452E"/>
    <w:rsid w:val="00A34A11"/>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37B3"/>
    <w:rsid w:val="00A437C6"/>
    <w:rsid w:val="00A44A4E"/>
    <w:rsid w:val="00A46029"/>
    <w:rsid w:val="00A461BB"/>
    <w:rsid w:val="00A46670"/>
    <w:rsid w:val="00A47640"/>
    <w:rsid w:val="00A503F6"/>
    <w:rsid w:val="00A505BF"/>
    <w:rsid w:val="00A5232A"/>
    <w:rsid w:val="00A52372"/>
    <w:rsid w:val="00A52655"/>
    <w:rsid w:val="00A52F6A"/>
    <w:rsid w:val="00A545DC"/>
    <w:rsid w:val="00A54AFE"/>
    <w:rsid w:val="00A55122"/>
    <w:rsid w:val="00A559FC"/>
    <w:rsid w:val="00A55D97"/>
    <w:rsid w:val="00A57084"/>
    <w:rsid w:val="00A607CC"/>
    <w:rsid w:val="00A61A8E"/>
    <w:rsid w:val="00A62F60"/>
    <w:rsid w:val="00A64084"/>
    <w:rsid w:val="00A64A13"/>
    <w:rsid w:val="00A66733"/>
    <w:rsid w:val="00A66D93"/>
    <w:rsid w:val="00A66FC8"/>
    <w:rsid w:val="00A6715C"/>
    <w:rsid w:val="00A67771"/>
    <w:rsid w:val="00A7116E"/>
    <w:rsid w:val="00A71652"/>
    <w:rsid w:val="00A73169"/>
    <w:rsid w:val="00A73AC8"/>
    <w:rsid w:val="00A743CD"/>
    <w:rsid w:val="00A74641"/>
    <w:rsid w:val="00A754AB"/>
    <w:rsid w:val="00A75C10"/>
    <w:rsid w:val="00A766FF"/>
    <w:rsid w:val="00A76A37"/>
    <w:rsid w:val="00A777D6"/>
    <w:rsid w:val="00A77F20"/>
    <w:rsid w:val="00A81866"/>
    <w:rsid w:val="00A8197C"/>
    <w:rsid w:val="00A81B2B"/>
    <w:rsid w:val="00A81C90"/>
    <w:rsid w:val="00A831D5"/>
    <w:rsid w:val="00A83718"/>
    <w:rsid w:val="00A83DD0"/>
    <w:rsid w:val="00A85860"/>
    <w:rsid w:val="00A86013"/>
    <w:rsid w:val="00A860E8"/>
    <w:rsid w:val="00A8694E"/>
    <w:rsid w:val="00A86B35"/>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582"/>
    <w:rsid w:val="00AB6A4A"/>
    <w:rsid w:val="00AB71E1"/>
    <w:rsid w:val="00AB769D"/>
    <w:rsid w:val="00AB7B54"/>
    <w:rsid w:val="00AC1176"/>
    <w:rsid w:val="00AC18C4"/>
    <w:rsid w:val="00AC33CC"/>
    <w:rsid w:val="00AC3B8A"/>
    <w:rsid w:val="00AC4044"/>
    <w:rsid w:val="00AC43D7"/>
    <w:rsid w:val="00AC4A35"/>
    <w:rsid w:val="00AC584C"/>
    <w:rsid w:val="00AC594D"/>
    <w:rsid w:val="00AC6013"/>
    <w:rsid w:val="00AC66A8"/>
    <w:rsid w:val="00AC68DC"/>
    <w:rsid w:val="00AD0FE0"/>
    <w:rsid w:val="00AD18F4"/>
    <w:rsid w:val="00AD2858"/>
    <w:rsid w:val="00AD2B8E"/>
    <w:rsid w:val="00AD2CCC"/>
    <w:rsid w:val="00AD30C8"/>
    <w:rsid w:val="00AD3789"/>
    <w:rsid w:val="00AD3CF7"/>
    <w:rsid w:val="00AD4F86"/>
    <w:rsid w:val="00AE0372"/>
    <w:rsid w:val="00AE0B2F"/>
    <w:rsid w:val="00AE120D"/>
    <w:rsid w:val="00AE439E"/>
    <w:rsid w:val="00AE4F93"/>
    <w:rsid w:val="00AE55D9"/>
    <w:rsid w:val="00AE5BC8"/>
    <w:rsid w:val="00AE5C1C"/>
    <w:rsid w:val="00AE698A"/>
    <w:rsid w:val="00AE7A30"/>
    <w:rsid w:val="00AE7C99"/>
    <w:rsid w:val="00AF0065"/>
    <w:rsid w:val="00AF05DE"/>
    <w:rsid w:val="00AF0ED9"/>
    <w:rsid w:val="00AF1572"/>
    <w:rsid w:val="00AF1790"/>
    <w:rsid w:val="00AF1901"/>
    <w:rsid w:val="00AF3AA9"/>
    <w:rsid w:val="00AF3B36"/>
    <w:rsid w:val="00AF3C54"/>
    <w:rsid w:val="00AF424F"/>
    <w:rsid w:val="00AF465D"/>
    <w:rsid w:val="00AF4B60"/>
    <w:rsid w:val="00AF4D1B"/>
    <w:rsid w:val="00AF7022"/>
    <w:rsid w:val="00AF74E5"/>
    <w:rsid w:val="00AF7794"/>
    <w:rsid w:val="00B003EE"/>
    <w:rsid w:val="00B01039"/>
    <w:rsid w:val="00B01BFC"/>
    <w:rsid w:val="00B02A87"/>
    <w:rsid w:val="00B03013"/>
    <w:rsid w:val="00B033A1"/>
    <w:rsid w:val="00B03FEF"/>
    <w:rsid w:val="00B041D6"/>
    <w:rsid w:val="00B076FE"/>
    <w:rsid w:val="00B079B1"/>
    <w:rsid w:val="00B10E62"/>
    <w:rsid w:val="00B10F80"/>
    <w:rsid w:val="00B1107B"/>
    <w:rsid w:val="00B12CFF"/>
    <w:rsid w:val="00B14552"/>
    <w:rsid w:val="00B14877"/>
    <w:rsid w:val="00B15D8F"/>
    <w:rsid w:val="00B15EE9"/>
    <w:rsid w:val="00B16099"/>
    <w:rsid w:val="00B1715A"/>
    <w:rsid w:val="00B17165"/>
    <w:rsid w:val="00B174AA"/>
    <w:rsid w:val="00B17872"/>
    <w:rsid w:val="00B179EE"/>
    <w:rsid w:val="00B17DFB"/>
    <w:rsid w:val="00B21B7D"/>
    <w:rsid w:val="00B238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666"/>
    <w:rsid w:val="00B3775B"/>
    <w:rsid w:val="00B43287"/>
    <w:rsid w:val="00B4475F"/>
    <w:rsid w:val="00B45888"/>
    <w:rsid w:val="00B45C2C"/>
    <w:rsid w:val="00B468AB"/>
    <w:rsid w:val="00B46F22"/>
    <w:rsid w:val="00B47228"/>
    <w:rsid w:val="00B47551"/>
    <w:rsid w:val="00B479ED"/>
    <w:rsid w:val="00B50BBA"/>
    <w:rsid w:val="00B51046"/>
    <w:rsid w:val="00B51181"/>
    <w:rsid w:val="00B512CA"/>
    <w:rsid w:val="00B5413C"/>
    <w:rsid w:val="00B545B0"/>
    <w:rsid w:val="00B54E92"/>
    <w:rsid w:val="00B55162"/>
    <w:rsid w:val="00B55E96"/>
    <w:rsid w:val="00B56006"/>
    <w:rsid w:val="00B563ED"/>
    <w:rsid w:val="00B57662"/>
    <w:rsid w:val="00B601CA"/>
    <w:rsid w:val="00B60E1C"/>
    <w:rsid w:val="00B6131D"/>
    <w:rsid w:val="00B6171A"/>
    <w:rsid w:val="00B61D4B"/>
    <w:rsid w:val="00B621A0"/>
    <w:rsid w:val="00B6337F"/>
    <w:rsid w:val="00B64687"/>
    <w:rsid w:val="00B64EEE"/>
    <w:rsid w:val="00B65991"/>
    <w:rsid w:val="00B6697E"/>
    <w:rsid w:val="00B67BC4"/>
    <w:rsid w:val="00B67ED1"/>
    <w:rsid w:val="00B704CC"/>
    <w:rsid w:val="00B70D97"/>
    <w:rsid w:val="00B71401"/>
    <w:rsid w:val="00B720D2"/>
    <w:rsid w:val="00B72235"/>
    <w:rsid w:val="00B7361A"/>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3DFF"/>
    <w:rsid w:val="00B840DC"/>
    <w:rsid w:val="00B8446D"/>
    <w:rsid w:val="00B855DB"/>
    <w:rsid w:val="00B85AF4"/>
    <w:rsid w:val="00B869BE"/>
    <w:rsid w:val="00B869CD"/>
    <w:rsid w:val="00B86C54"/>
    <w:rsid w:val="00B86CD1"/>
    <w:rsid w:val="00B86F8F"/>
    <w:rsid w:val="00B874A8"/>
    <w:rsid w:val="00B87F92"/>
    <w:rsid w:val="00B9078B"/>
    <w:rsid w:val="00B90BA7"/>
    <w:rsid w:val="00B92411"/>
    <w:rsid w:val="00B93003"/>
    <w:rsid w:val="00B93111"/>
    <w:rsid w:val="00B9324D"/>
    <w:rsid w:val="00B93909"/>
    <w:rsid w:val="00B9639D"/>
    <w:rsid w:val="00B97052"/>
    <w:rsid w:val="00BA0D93"/>
    <w:rsid w:val="00BA3653"/>
    <w:rsid w:val="00BA3703"/>
    <w:rsid w:val="00BA3A0B"/>
    <w:rsid w:val="00BA3B15"/>
    <w:rsid w:val="00BA4845"/>
    <w:rsid w:val="00BA4900"/>
    <w:rsid w:val="00BA5A80"/>
    <w:rsid w:val="00BA5F8B"/>
    <w:rsid w:val="00BA674C"/>
    <w:rsid w:val="00BA710E"/>
    <w:rsid w:val="00BA7BD1"/>
    <w:rsid w:val="00BA7C9E"/>
    <w:rsid w:val="00BB0AC3"/>
    <w:rsid w:val="00BB13AC"/>
    <w:rsid w:val="00BB15F0"/>
    <w:rsid w:val="00BB2E23"/>
    <w:rsid w:val="00BB2FB6"/>
    <w:rsid w:val="00BB37B8"/>
    <w:rsid w:val="00BB40BA"/>
    <w:rsid w:val="00BB5AC3"/>
    <w:rsid w:val="00BB5D49"/>
    <w:rsid w:val="00BB6677"/>
    <w:rsid w:val="00BB6928"/>
    <w:rsid w:val="00BB6A6A"/>
    <w:rsid w:val="00BB6B18"/>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345"/>
    <w:rsid w:val="00BF4DE9"/>
    <w:rsid w:val="00BF5E24"/>
    <w:rsid w:val="00BF742E"/>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5D99"/>
    <w:rsid w:val="00C263D4"/>
    <w:rsid w:val="00C269D3"/>
    <w:rsid w:val="00C26DAB"/>
    <w:rsid w:val="00C27536"/>
    <w:rsid w:val="00C3000B"/>
    <w:rsid w:val="00C31AD6"/>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47640"/>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1BF6"/>
    <w:rsid w:val="00C6238B"/>
    <w:rsid w:val="00C624C3"/>
    <w:rsid w:val="00C63F5B"/>
    <w:rsid w:val="00C64240"/>
    <w:rsid w:val="00C64574"/>
    <w:rsid w:val="00C64B1C"/>
    <w:rsid w:val="00C65571"/>
    <w:rsid w:val="00C664A5"/>
    <w:rsid w:val="00C67F8D"/>
    <w:rsid w:val="00C702C0"/>
    <w:rsid w:val="00C704CC"/>
    <w:rsid w:val="00C7086F"/>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399"/>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19F5"/>
    <w:rsid w:val="00CB22FE"/>
    <w:rsid w:val="00CB267F"/>
    <w:rsid w:val="00CB590E"/>
    <w:rsid w:val="00CB6A3E"/>
    <w:rsid w:val="00CB6C1B"/>
    <w:rsid w:val="00CB743B"/>
    <w:rsid w:val="00CB7DD7"/>
    <w:rsid w:val="00CC0BFE"/>
    <w:rsid w:val="00CC1C9D"/>
    <w:rsid w:val="00CC2092"/>
    <w:rsid w:val="00CC2406"/>
    <w:rsid w:val="00CC2C60"/>
    <w:rsid w:val="00CC35C2"/>
    <w:rsid w:val="00CC5453"/>
    <w:rsid w:val="00CC5736"/>
    <w:rsid w:val="00CC5A57"/>
    <w:rsid w:val="00CC5B57"/>
    <w:rsid w:val="00CC6028"/>
    <w:rsid w:val="00CC6624"/>
    <w:rsid w:val="00CC6716"/>
    <w:rsid w:val="00CD01A0"/>
    <w:rsid w:val="00CD154A"/>
    <w:rsid w:val="00CD1D14"/>
    <w:rsid w:val="00CD317C"/>
    <w:rsid w:val="00CD3361"/>
    <w:rsid w:val="00CD3433"/>
    <w:rsid w:val="00CD41B7"/>
    <w:rsid w:val="00CD4D85"/>
    <w:rsid w:val="00CD5436"/>
    <w:rsid w:val="00CD57FB"/>
    <w:rsid w:val="00CD5E6C"/>
    <w:rsid w:val="00CD5F68"/>
    <w:rsid w:val="00CD6C4B"/>
    <w:rsid w:val="00CE017C"/>
    <w:rsid w:val="00CE0234"/>
    <w:rsid w:val="00CE1CB0"/>
    <w:rsid w:val="00CE2B2D"/>
    <w:rsid w:val="00CE2EBD"/>
    <w:rsid w:val="00CE3E8E"/>
    <w:rsid w:val="00CE4E8F"/>
    <w:rsid w:val="00CE4F19"/>
    <w:rsid w:val="00CE5519"/>
    <w:rsid w:val="00CE556A"/>
    <w:rsid w:val="00CE5838"/>
    <w:rsid w:val="00CE5A93"/>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0DF9"/>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83E"/>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5F78"/>
    <w:rsid w:val="00D361D3"/>
    <w:rsid w:val="00D36A82"/>
    <w:rsid w:val="00D36BE2"/>
    <w:rsid w:val="00D37344"/>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69BF"/>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040"/>
    <w:rsid w:val="00DA4389"/>
    <w:rsid w:val="00DA43AC"/>
    <w:rsid w:val="00DA591D"/>
    <w:rsid w:val="00DA5CB7"/>
    <w:rsid w:val="00DA5DB0"/>
    <w:rsid w:val="00DB033A"/>
    <w:rsid w:val="00DB0664"/>
    <w:rsid w:val="00DB0758"/>
    <w:rsid w:val="00DB11D0"/>
    <w:rsid w:val="00DB19D3"/>
    <w:rsid w:val="00DB1E14"/>
    <w:rsid w:val="00DB30C4"/>
    <w:rsid w:val="00DB3286"/>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6142"/>
    <w:rsid w:val="00DC794A"/>
    <w:rsid w:val="00DC7BE6"/>
    <w:rsid w:val="00DC7DB4"/>
    <w:rsid w:val="00DC7EF9"/>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BF7"/>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559"/>
    <w:rsid w:val="00E06862"/>
    <w:rsid w:val="00E06B06"/>
    <w:rsid w:val="00E0737E"/>
    <w:rsid w:val="00E0741C"/>
    <w:rsid w:val="00E0783B"/>
    <w:rsid w:val="00E07B14"/>
    <w:rsid w:val="00E1035C"/>
    <w:rsid w:val="00E109EE"/>
    <w:rsid w:val="00E112CD"/>
    <w:rsid w:val="00E11750"/>
    <w:rsid w:val="00E11AB4"/>
    <w:rsid w:val="00E11B9A"/>
    <w:rsid w:val="00E13E1D"/>
    <w:rsid w:val="00E13F6E"/>
    <w:rsid w:val="00E1470A"/>
    <w:rsid w:val="00E15141"/>
    <w:rsid w:val="00E156BF"/>
    <w:rsid w:val="00E15D5B"/>
    <w:rsid w:val="00E16E4B"/>
    <w:rsid w:val="00E174BB"/>
    <w:rsid w:val="00E20A24"/>
    <w:rsid w:val="00E20B5F"/>
    <w:rsid w:val="00E20F48"/>
    <w:rsid w:val="00E213D9"/>
    <w:rsid w:val="00E21828"/>
    <w:rsid w:val="00E231E4"/>
    <w:rsid w:val="00E24FDD"/>
    <w:rsid w:val="00E250E1"/>
    <w:rsid w:val="00E259D3"/>
    <w:rsid w:val="00E25FBC"/>
    <w:rsid w:val="00E261D0"/>
    <w:rsid w:val="00E26E1E"/>
    <w:rsid w:val="00E272E1"/>
    <w:rsid w:val="00E2745B"/>
    <w:rsid w:val="00E27ACE"/>
    <w:rsid w:val="00E3061E"/>
    <w:rsid w:val="00E3066A"/>
    <w:rsid w:val="00E3086F"/>
    <w:rsid w:val="00E30A37"/>
    <w:rsid w:val="00E315E8"/>
    <w:rsid w:val="00E31E4A"/>
    <w:rsid w:val="00E32B1A"/>
    <w:rsid w:val="00E335A6"/>
    <w:rsid w:val="00E33688"/>
    <w:rsid w:val="00E33BAF"/>
    <w:rsid w:val="00E33EDF"/>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6F5C"/>
    <w:rsid w:val="00E57063"/>
    <w:rsid w:val="00E57611"/>
    <w:rsid w:val="00E60A63"/>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1EAC"/>
    <w:rsid w:val="00E72526"/>
    <w:rsid w:val="00E7461F"/>
    <w:rsid w:val="00E75049"/>
    <w:rsid w:val="00E75D19"/>
    <w:rsid w:val="00E7601F"/>
    <w:rsid w:val="00E761E7"/>
    <w:rsid w:val="00E77069"/>
    <w:rsid w:val="00E772E7"/>
    <w:rsid w:val="00E77326"/>
    <w:rsid w:val="00E77D0F"/>
    <w:rsid w:val="00E77E61"/>
    <w:rsid w:val="00E80869"/>
    <w:rsid w:val="00E80D79"/>
    <w:rsid w:val="00E80FDA"/>
    <w:rsid w:val="00E811DF"/>
    <w:rsid w:val="00E818EC"/>
    <w:rsid w:val="00E825ED"/>
    <w:rsid w:val="00E82D14"/>
    <w:rsid w:val="00E832B3"/>
    <w:rsid w:val="00E83794"/>
    <w:rsid w:val="00E83FE6"/>
    <w:rsid w:val="00E84E88"/>
    <w:rsid w:val="00E85713"/>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3810"/>
    <w:rsid w:val="00EA3952"/>
    <w:rsid w:val="00EA42E0"/>
    <w:rsid w:val="00EA4C84"/>
    <w:rsid w:val="00EA530C"/>
    <w:rsid w:val="00EA7ED8"/>
    <w:rsid w:val="00EA7F7A"/>
    <w:rsid w:val="00EB05E2"/>
    <w:rsid w:val="00EB13D6"/>
    <w:rsid w:val="00EB20C7"/>
    <w:rsid w:val="00EB236A"/>
    <w:rsid w:val="00EB3E17"/>
    <w:rsid w:val="00EB3E76"/>
    <w:rsid w:val="00EB3ED6"/>
    <w:rsid w:val="00EB4A7E"/>
    <w:rsid w:val="00EB4AA2"/>
    <w:rsid w:val="00EC06D5"/>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296"/>
    <w:rsid w:val="00ED2524"/>
    <w:rsid w:val="00ED304D"/>
    <w:rsid w:val="00ED3C7A"/>
    <w:rsid w:val="00ED418A"/>
    <w:rsid w:val="00ED48D9"/>
    <w:rsid w:val="00ED4D80"/>
    <w:rsid w:val="00ED53E0"/>
    <w:rsid w:val="00ED5508"/>
    <w:rsid w:val="00ED69C8"/>
    <w:rsid w:val="00ED6E13"/>
    <w:rsid w:val="00ED7090"/>
    <w:rsid w:val="00EE00BA"/>
    <w:rsid w:val="00EE0DB8"/>
    <w:rsid w:val="00EE0E1C"/>
    <w:rsid w:val="00EE1972"/>
    <w:rsid w:val="00EE1F35"/>
    <w:rsid w:val="00EE26DE"/>
    <w:rsid w:val="00EE351D"/>
    <w:rsid w:val="00EE402E"/>
    <w:rsid w:val="00EE582B"/>
    <w:rsid w:val="00EE5A06"/>
    <w:rsid w:val="00EE5B59"/>
    <w:rsid w:val="00EE6318"/>
    <w:rsid w:val="00EE6CAC"/>
    <w:rsid w:val="00EE7270"/>
    <w:rsid w:val="00EE74DF"/>
    <w:rsid w:val="00EF149D"/>
    <w:rsid w:val="00EF185F"/>
    <w:rsid w:val="00EF3246"/>
    <w:rsid w:val="00EF44A4"/>
    <w:rsid w:val="00EF678F"/>
    <w:rsid w:val="00EF6A71"/>
    <w:rsid w:val="00F0000C"/>
    <w:rsid w:val="00F009B7"/>
    <w:rsid w:val="00F0149F"/>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552"/>
    <w:rsid w:val="00F216FD"/>
    <w:rsid w:val="00F21A07"/>
    <w:rsid w:val="00F227FB"/>
    <w:rsid w:val="00F2413B"/>
    <w:rsid w:val="00F243C7"/>
    <w:rsid w:val="00F24763"/>
    <w:rsid w:val="00F24E8A"/>
    <w:rsid w:val="00F27096"/>
    <w:rsid w:val="00F27361"/>
    <w:rsid w:val="00F30DE3"/>
    <w:rsid w:val="00F32B46"/>
    <w:rsid w:val="00F32C16"/>
    <w:rsid w:val="00F337E7"/>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2E16"/>
    <w:rsid w:val="00F432B8"/>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98C"/>
    <w:rsid w:val="00F64EC5"/>
    <w:rsid w:val="00F65BAB"/>
    <w:rsid w:val="00F65EB3"/>
    <w:rsid w:val="00F66025"/>
    <w:rsid w:val="00F66508"/>
    <w:rsid w:val="00F67602"/>
    <w:rsid w:val="00F67F48"/>
    <w:rsid w:val="00F704FE"/>
    <w:rsid w:val="00F70F2B"/>
    <w:rsid w:val="00F71EA1"/>
    <w:rsid w:val="00F73C6B"/>
    <w:rsid w:val="00F742B6"/>
    <w:rsid w:val="00F74327"/>
    <w:rsid w:val="00F74A60"/>
    <w:rsid w:val="00F75FBE"/>
    <w:rsid w:val="00F766A3"/>
    <w:rsid w:val="00F77560"/>
    <w:rsid w:val="00F80D60"/>
    <w:rsid w:val="00F80F57"/>
    <w:rsid w:val="00F82559"/>
    <w:rsid w:val="00F82EF5"/>
    <w:rsid w:val="00F834F9"/>
    <w:rsid w:val="00F839D3"/>
    <w:rsid w:val="00F84060"/>
    <w:rsid w:val="00F842EA"/>
    <w:rsid w:val="00F86F99"/>
    <w:rsid w:val="00F87D29"/>
    <w:rsid w:val="00F90D5A"/>
    <w:rsid w:val="00F914BE"/>
    <w:rsid w:val="00F9167B"/>
    <w:rsid w:val="00F93644"/>
    <w:rsid w:val="00F936F7"/>
    <w:rsid w:val="00F93EA3"/>
    <w:rsid w:val="00F946E7"/>
    <w:rsid w:val="00F954DC"/>
    <w:rsid w:val="00F95D8C"/>
    <w:rsid w:val="00F97201"/>
    <w:rsid w:val="00F97D1E"/>
    <w:rsid w:val="00F97F76"/>
    <w:rsid w:val="00FA0BD3"/>
    <w:rsid w:val="00FA12BE"/>
    <w:rsid w:val="00FA202B"/>
    <w:rsid w:val="00FA28CC"/>
    <w:rsid w:val="00FA424B"/>
    <w:rsid w:val="00FA43BD"/>
    <w:rsid w:val="00FA4BEF"/>
    <w:rsid w:val="00FA58C6"/>
    <w:rsid w:val="00FA5CDF"/>
    <w:rsid w:val="00FA7861"/>
    <w:rsid w:val="00FA7CF1"/>
    <w:rsid w:val="00FB097A"/>
    <w:rsid w:val="00FB0C14"/>
    <w:rsid w:val="00FB12C4"/>
    <w:rsid w:val="00FB194A"/>
    <w:rsid w:val="00FB2B62"/>
    <w:rsid w:val="00FB34A9"/>
    <w:rsid w:val="00FB34E7"/>
    <w:rsid w:val="00FB4032"/>
    <w:rsid w:val="00FB4334"/>
    <w:rsid w:val="00FB46CE"/>
    <w:rsid w:val="00FB5066"/>
    <w:rsid w:val="00FB57AF"/>
    <w:rsid w:val="00FB5B88"/>
    <w:rsid w:val="00FB5DFA"/>
    <w:rsid w:val="00FB5F27"/>
    <w:rsid w:val="00FB6E5D"/>
    <w:rsid w:val="00FB7570"/>
    <w:rsid w:val="00FB7A08"/>
    <w:rsid w:val="00FB7E2C"/>
    <w:rsid w:val="00FC0646"/>
    <w:rsid w:val="00FC07C4"/>
    <w:rsid w:val="00FC1DC7"/>
    <w:rsid w:val="00FC2331"/>
    <w:rsid w:val="00FC3DCF"/>
    <w:rsid w:val="00FC4213"/>
    <w:rsid w:val="00FC47B2"/>
    <w:rsid w:val="00FC79FB"/>
    <w:rsid w:val="00FC7E17"/>
    <w:rsid w:val="00FD128E"/>
    <w:rsid w:val="00FD2168"/>
    <w:rsid w:val="00FD26B7"/>
    <w:rsid w:val="00FD35D9"/>
    <w:rsid w:val="00FD3981"/>
    <w:rsid w:val="00FD456C"/>
    <w:rsid w:val="00FD5E7D"/>
    <w:rsid w:val="00FD62B3"/>
    <w:rsid w:val="00FD741B"/>
    <w:rsid w:val="00FE1320"/>
    <w:rsid w:val="00FE18C0"/>
    <w:rsid w:val="00FE1B0C"/>
    <w:rsid w:val="00FE27B1"/>
    <w:rsid w:val="00FE29F0"/>
    <w:rsid w:val="00FE2AF2"/>
    <w:rsid w:val="00FE31C7"/>
    <w:rsid w:val="00FE4C2C"/>
    <w:rsid w:val="00FE50CF"/>
    <w:rsid w:val="00FE575B"/>
    <w:rsid w:val="00FE71E2"/>
    <w:rsid w:val="00FE739D"/>
    <w:rsid w:val="00FF07F6"/>
    <w:rsid w:val="00FF0CB7"/>
    <w:rsid w:val="00FF1004"/>
    <w:rsid w:val="00FF166E"/>
    <w:rsid w:val="00FF17DC"/>
    <w:rsid w:val="00FF2F39"/>
    <w:rsid w:val="00FF30D9"/>
    <w:rsid w:val="00FF3709"/>
    <w:rsid w:val="00FF3CBA"/>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CB"/>
    <w:pPr>
      <w:spacing w:after="180"/>
    </w:pPr>
    <w:rPr>
      <w:rFonts w:ascii="Times New Roman" w:hAnsi="Times New Roman"/>
      <w:lang w:val="en-GB" w:eastAsia="ja-JP"/>
    </w:rPr>
  </w:style>
  <w:style w:type="paragraph" w:styleId="Heading1">
    <w:name w:val="heading 1"/>
    <w:aliases w:val="H1,h1"/>
    <w:next w:val="Normal"/>
    <w:link w:val="Heading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C57BB4"/>
    <w:pPr>
      <w:numPr>
        <w:numId w:val="4"/>
      </w:numPr>
      <w:spacing w:before="180"/>
      <w:ind w:left="576" w:hanging="576"/>
      <w:outlineLvl w:val="1"/>
    </w:pPr>
    <w:rPr>
      <w:sz w:val="32"/>
    </w:rPr>
  </w:style>
  <w:style w:type="paragraph" w:styleId="Heading3">
    <w:name w:val="heading 3"/>
    <w:aliases w:val="h3,H3,Underrubrik2,no break,3"/>
    <w:basedOn w:val="Heading2"/>
    <w:next w:val="Normal"/>
    <w:link w:val="Heading3Char"/>
    <w:qFormat/>
    <w:rsid w:val="00AC584C"/>
    <w:pPr>
      <w:numPr>
        <w:ilvl w:val="1"/>
        <w:numId w:val="1"/>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2D51E6"/>
    <w:pPr>
      <w:ind w:left="1418" w:hanging="1418"/>
      <w:outlineLvl w:val="3"/>
    </w:pPr>
    <w:rPr>
      <w:sz w:val="24"/>
    </w:rPr>
  </w:style>
  <w:style w:type="paragraph" w:styleId="Heading5">
    <w:name w:val="heading 5"/>
    <w:basedOn w:val="Heading4"/>
    <w:next w:val="Normal"/>
    <w:qFormat/>
    <w:rsid w:val="002D51E6"/>
    <w:pPr>
      <w:ind w:left="1701" w:hanging="1701"/>
      <w:outlineLvl w:val="4"/>
    </w:pPr>
    <w:rPr>
      <w:sz w:val="22"/>
    </w:rPr>
  </w:style>
  <w:style w:type="paragraph" w:styleId="Heading6">
    <w:name w:val="heading 6"/>
    <w:basedOn w:val="H6"/>
    <w:next w:val="Normal"/>
    <w:qFormat/>
    <w:rsid w:val="002D51E6"/>
    <w:pPr>
      <w:outlineLvl w:val="5"/>
    </w:pPr>
  </w:style>
  <w:style w:type="paragraph" w:styleId="Heading7">
    <w:name w:val="heading 7"/>
    <w:basedOn w:val="H6"/>
    <w:next w:val="Normal"/>
    <w:qFormat/>
    <w:rsid w:val="002D51E6"/>
    <w:pPr>
      <w:outlineLvl w:val="6"/>
    </w:pPr>
  </w:style>
  <w:style w:type="paragraph" w:styleId="Heading8">
    <w:name w:val="heading 8"/>
    <w:basedOn w:val="Heading1"/>
    <w:next w:val="Normal"/>
    <w:qFormat/>
    <w:rsid w:val="002D51E6"/>
    <w:pPr>
      <w:ind w:left="0" w:firstLine="0"/>
      <w:outlineLvl w:val="7"/>
    </w:pPr>
  </w:style>
  <w:style w:type="paragraph" w:styleId="Heading9">
    <w:name w:val="heading 9"/>
    <w:basedOn w:val="Heading8"/>
    <w:next w:val="Normal"/>
    <w:qFormat/>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
    <w:basedOn w:val="Normal"/>
    <w:link w:val="BodyTextChar"/>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
    <w:link w:val="Heading3"/>
    <w:rsid w:val="00AC584C"/>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
    <w:link w:val="Heading2"/>
    <w:rsid w:val="00C57BB4"/>
    <w:rPr>
      <w:rFonts w:ascii="Arial" w:hAnsi="Arial"/>
      <w:sz w:val="32"/>
      <w:lang w:val="en-GB" w:eastAsia="en-US"/>
    </w:rPr>
  </w:style>
  <w:style w:type="paragraph" w:styleId="ListParagraph">
    <w:name w:val="List Paragraph"/>
    <w:basedOn w:val="Normal"/>
    <w:link w:val="ListParagraphChar"/>
    <w:uiPriority w:val="34"/>
    <w:qFormat/>
    <w:rsid w:val="007D04F1"/>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
    <w:link w:val="Heading1"/>
    <w:uiPriority w:val="9"/>
    <w:rsid w:val="00C57BB4"/>
    <w:rPr>
      <w:rFonts w:ascii="Arial" w:hAnsi="Arial"/>
      <w:sz w:val="36"/>
      <w:lang w:val="en-GB" w:eastAsia="en-US"/>
    </w:rPr>
  </w:style>
  <w:style w:type="character" w:customStyle="1" w:styleId="ListParagraphChar">
    <w:name w:val="List Paragraph Char"/>
    <w:link w:val="ListParagraph"/>
    <w:uiPriority w:val="34"/>
    <w:rsid w:val="007D04F1"/>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TALChar">
    <w:name w:val="TAL Char"/>
    <w:basedOn w:val="DefaultParagraphFont"/>
    <w:locked/>
    <w:rsid w:val="002C7953"/>
    <w:rPr>
      <w:rFonts w:ascii="Arial" w:hAnsi="Arial" w:cs="Arial"/>
      <w:lang w:eastAsia="en-US"/>
    </w:rPr>
  </w:style>
  <w:style w:type="paragraph" w:customStyle="1" w:styleId="Default">
    <w:name w:val="Default"/>
    <w:rsid w:val="00CD154A"/>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0839832">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527499">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395617067">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D6013D6-77F1-4A36-8D9B-5BE83E9F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24</cp:revision>
  <cp:lastPrinted>2006-02-09T13:55:00Z</cp:lastPrinted>
  <dcterms:created xsi:type="dcterms:W3CDTF">2017-08-05T03:11:00Z</dcterms:created>
  <dcterms:modified xsi:type="dcterms:W3CDTF">2017-08-11T15:32:00Z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